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AB6201">
      <w:pPr>
        <w:adjustRightInd w:val="0"/>
        <w:snapToGrid w:val="0"/>
        <w:jc w:val="center"/>
        <w:rPr>
          <w:rFonts w:hint="eastAsia" w:ascii="仿宋" w:hAnsi="仿宋" w:eastAsia="仿宋"/>
          <w:b/>
          <w:bCs/>
          <w:sz w:val="44"/>
          <w:szCs w:val="44"/>
        </w:rPr>
      </w:pPr>
    </w:p>
    <w:p w14:paraId="1D8AFCD5">
      <w:pPr>
        <w:adjustRightInd w:val="0"/>
        <w:snapToGrid w:val="0"/>
        <w:jc w:val="center"/>
        <w:rPr>
          <w:rFonts w:hint="eastAsia" w:ascii="仿宋" w:hAnsi="仿宋" w:eastAsia="仿宋"/>
          <w:b/>
          <w:bCs/>
          <w:sz w:val="44"/>
          <w:szCs w:val="44"/>
        </w:rPr>
      </w:pPr>
    </w:p>
    <w:p w14:paraId="09AEC7A0">
      <w:pPr>
        <w:adjustRightInd w:val="0"/>
        <w:snapToGrid w:val="0"/>
        <w:spacing w:line="480" w:lineRule="auto"/>
        <w:ind w:right="238"/>
        <w:jc w:val="center"/>
        <w:rPr>
          <w:rFonts w:hint="eastAsia" w:ascii="仿宋" w:hAnsi="仿宋" w:eastAsia="仿宋" w:cs="宋体"/>
          <w:b/>
          <w:kern w:val="0"/>
          <w:sz w:val="44"/>
          <w:szCs w:val="44"/>
        </w:rPr>
      </w:pPr>
    </w:p>
    <w:p w14:paraId="673B83AE">
      <w:pPr>
        <w:adjustRightInd w:val="0"/>
        <w:snapToGrid w:val="0"/>
        <w:spacing w:line="480" w:lineRule="auto"/>
        <w:ind w:right="238"/>
        <w:jc w:val="center"/>
        <w:rPr>
          <w:rFonts w:hint="eastAsia" w:ascii="仿宋" w:hAnsi="仿宋" w:eastAsia="仿宋" w:cs="宋体"/>
          <w:b/>
          <w:kern w:val="0"/>
          <w:sz w:val="44"/>
          <w:szCs w:val="44"/>
        </w:rPr>
      </w:pPr>
      <w:r>
        <w:rPr>
          <w:rFonts w:hint="eastAsia" w:ascii="仿宋" w:hAnsi="仿宋" w:eastAsia="仿宋" w:cs="宋体"/>
          <w:b/>
          <w:kern w:val="0"/>
          <w:sz w:val="44"/>
          <w:szCs w:val="44"/>
          <w:lang w:val="en-US" w:eastAsia="zh-CN"/>
        </w:rPr>
        <w:t>中山</w:t>
      </w:r>
      <w:r>
        <w:rPr>
          <w:rFonts w:hint="eastAsia" w:ascii="仿宋" w:hAnsi="仿宋" w:eastAsia="仿宋" w:cs="宋体"/>
          <w:b/>
          <w:kern w:val="0"/>
          <w:sz w:val="44"/>
          <w:szCs w:val="44"/>
        </w:rPr>
        <w:t>市第</w:t>
      </w:r>
      <w:r>
        <w:rPr>
          <w:rFonts w:hint="eastAsia" w:ascii="仿宋" w:hAnsi="仿宋" w:eastAsia="仿宋" w:cs="宋体"/>
          <w:b/>
          <w:kern w:val="0"/>
          <w:sz w:val="44"/>
          <w:szCs w:val="44"/>
          <w:lang w:val="en-US" w:eastAsia="zh-CN"/>
        </w:rPr>
        <w:t>六</w:t>
      </w:r>
      <w:r>
        <w:rPr>
          <w:rFonts w:hint="eastAsia" w:ascii="仿宋" w:hAnsi="仿宋" w:eastAsia="仿宋" w:cs="宋体"/>
          <w:b/>
          <w:kern w:val="0"/>
          <w:sz w:val="44"/>
          <w:szCs w:val="44"/>
        </w:rPr>
        <w:t>届职业技能大赛</w:t>
      </w:r>
    </w:p>
    <w:p w14:paraId="7308A137">
      <w:pPr>
        <w:widowControl/>
        <w:spacing w:line="700" w:lineRule="exact"/>
        <w:jc w:val="center"/>
        <w:rPr>
          <w:rFonts w:hint="eastAsia" w:ascii="仿宋" w:hAnsi="仿宋" w:eastAsia="仿宋" w:cs="Courier New"/>
          <w:b/>
          <w:color w:val="000000"/>
          <w:kern w:val="0"/>
          <w:sz w:val="44"/>
          <w:szCs w:val="44"/>
          <w:lang w:val="zh-TW"/>
        </w:rPr>
      </w:pPr>
      <w:r>
        <w:rPr>
          <w:rFonts w:hint="eastAsia" w:ascii="仿宋" w:hAnsi="仿宋" w:eastAsia="仿宋" w:cs="Courier New"/>
          <w:b/>
          <w:color w:val="000000"/>
          <w:kern w:val="0"/>
          <w:sz w:val="44"/>
          <w:szCs w:val="44"/>
          <w:highlight w:val="none"/>
          <w:lang w:val="zh-TW" w:eastAsia="zh-CN"/>
        </w:rPr>
        <w:t>服装产业集群赛服装水洗工项目</w:t>
      </w:r>
      <w:r>
        <w:rPr>
          <w:rFonts w:hint="eastAsia" w:ascii="仿宋" w:hAnsi="仿宋" w:eastAsia="仿宋" w:cs="Courier New"/>
          <w:b/>
          <w:color w:val="000000"/>
          <w:kern w:val="0"/>
          <w:sz w:val="44"/>
          <w:szCs w:val="44"/>
          <w:lang w:val="zh-TW"/>
        </w:rPr>
        <w:t>竞赛</w:t>
      </w:r>
    </w:p>
    <w:p w14:paraId="581C55B0">
      <w:pPr>
        <w:widowControl/>
        <w:spacing w:line="700" w:lineRule="exact"/>
        <w:jc w:val="center"/>
        <w:rPr>
          <w:rFonts w:hint="eastAsia" w:ascii="仿宋" w:hAnsi="仿宋" w:eastAsia="仿宋" w:cs="宋体"/>
          <w:b/>
          <w:kern w:val="0"/>
          <w:sz w:val="44"/>
          <w:szCs w:val="44"/>
        </w:rPr>
      </w:pPr>
      <w:r>
        <w:rPr>
          <w:rFonts w:hint="eastAsia" w:ascii="仿宋" w:hAnsi="仿宋" w:eastAsia="仿宋" w:cs="宋体"/>
          <w:b/>
          <w:kern w:val="0"/>
          <w:sz w:val="44"/>
          <w:szCs w:val="44"/>
        </w:rPr>
        <w:t>技术工作文件</w:t>
      </w:r>
    </w:p>
    <w:p w14:paraId="5B43B71F">
      <w:pPr>
        <w:adjustRightInd w:val="0"/>
        <w:snapToGrid w:val="0"/>
        <w:jc w:val="center"/>
        <w:rPr>
          <w:rFonts w:hint="eastAsia" w:ascii="仿宋" w:hAnsi="仿宋" w:eastAsia="仿宋"/>
          <w:b/>
          <w:bCs/>
          <w:sz w:val="44"/>
          <w:szCs w:val="44"/>
        </w:rPr>
      </w:pPr>
    </w:p>
    <w:p w14:paraId="08B9C539">
      <w:pPr>
        <w:ind w:firstLine="1920" w:firstLineChars="800"/>
        <w:rPr>
          <w:rFonts w:hint="eastAsia" w:ascii="仿宋" w:hAnsi="仿宋" w:eastAsia="仿宋"/>
          <w:color w:val="000000"/>
          <w:sz w:val="24"/>
        </w:rPr>
      </w:pPr>
    </w:p>
    <w:p w14:paraId="05611382">
      <w:pPr>
        <w:ind w:firstLine="1920" w:firstLineChars="800"/>
        <w:rPr>
          <w:rFonts w:hint="eastAsia" w:ascii="仿宋" w:hAnsi="仿宋" w:eastAsia="仿宋"/>
          <w:color w:val="000000"/>
          <w:sz w:val="24"/>
        </w:rPr>
      </w:pPr>
    </w:p>
    <w:p w14:paraId="4ED24944">
      <w:pPr>
        <w:ind w:firstLine="1920" w:firstLineChars="800"/>
        <w:rPr>
          <w:rFonts w:hint="eastAsia" w:ascii="仿宋" w:hAnsi="仿宋" w:eastAsia="仿宋"/>
          <w:color w:val="000000"/>
          <w:sz w:val="24"/>
        </w:rPr>
      </w:pPr>
    </w:p>
    <w:p w14:paraId="12B56105">
      <w:pPr>
        <w:ind w:firstLine="1920" w:firstLineChars="800"/>
        <w:rPr>
          <w:rFonts w:hint="eastAsia" w:ascii="仿宋" w:hAnsi="仿宋" w:eastAsia="仿宋"/>
          <w:color w:val="000000"/>
          <w:sz w:val="24"/>
        </w:rPr>
      </w:pPr>
    </w:p>
    <w:p w14:paraId="70E087B6">
      <w:pPr>
        <w:ind w:firstLine="1920" w:firstLineChars="800"/>
        <w:rPr>
          <w:rFonts w:hint="eastAsia" w:ascii="仿宋" w:hAnsi="仿宋" w:eastAsia="仿宋"/>
          <w:color w:val="000000"/>
          <w:sz w:val="24"/>
        </w:rPr>
      </w:pPr>
    </w:p>
    <w:p w14:paraId="4DF5A582">
      <w:pPr>
        <w:ind w:firstLine="1920" w:firstLineChars="800"/>
        <w:rPr>
          <w:rFonts w:hint="eastAsia" w:ascii="仿宋" w:hAnsi="仿宋" w:eastAsia="仿宋"/>
          <w:color w:val="000000"/>
          <w:sz w:val="24"/>
        </w:rPr>
      </w:pPr>
    </w:p>
    <w:p w14:paraId="597CBC0B">
      <w:pPr>
        <w:rPr>
          <w:rFonts w:hint="eastAsia" w:ascii="仿宋" w:hAnsi="仿宋" w:eastAsia="仿宋"/>
          <w:color w:val="000000"/>
          <w:sz w:val="24"/>
        </w:rPr>
      </w:pPr>
    </w:p>
    <w:p w14:paraId="28F74B03">
      <w:pPr>
        <w:ind w:firstLine="1920" w:firstLineChars="800"/>
        <w:rPr>
          <w:rFonts w:hint="eastAsia" w:ascii="仿宋" w:hAnsi="仿宋" w:eastAsia="仿宋"/>
          <w:color w:val="000000"/>
          <w:sz w:val="24"/>
        </w:rPr>
      </w:pPr>
    </w:p>
    <w:p w14:paraId="26F6D975">
      <w:pPr>
        <w:spacing w:line="560" w:lineRule="exact"/>
        <w:jc w:val="center"/>
        <w:rPr>
          <w:rFonts w:hint="eastAsia" w:ascii="仿宋" w:hAnsi="仿宋" w:eastAsia="仿宋"/>
          <w:color w:val="000000"/>
          <w:sz w:val="28"/>
          <w:szCs w:val="28"/>
        </w:rPr>
      </w:pPr>
      <w:r>
        <w:rPr>
          <w:rFonts w:hint="eastAsia" w:ascii="仿宋" w:hAnsi="仿宋" w:eastAsia="仿宋"/>
          <w:color w:val="000000"/>
          <w:sz w:val="28"/>
          <w:szCs w:val="28"/>
          <w:lang w:val="en-US" w:eastAsia="zh-CN"/>
        </w:rPr>
        <w:t>中山</w:t>
      </w:r>
      <w:r>
        <w:rPr>
          <w:rFonts w:ascii="仿宋" w:hAnsi="仿宋" w:eastAsia="仿宋"/>
          <w:color w:val="000000"/>
          <w:sz w:val="28"/>
          <w:szCs w:val="28"/>
        </w:rPr>
        <w:t>市第</w:t>
      </w:r>
      <w:r>
        <w:rPr>
          <w:rFonts w:hint="eastAsia" w:ascii="仿宋" w:hAnsi="仿宋" w:eastAsia="仿宋"/>
          <w:color w:val="000000"/>
          <w:sz w:val="28"/>
          <w:szCs w:val="28"/>
          <w:lang w:val="en-US" w:eastAsia="zh-CN"/>
        </w:rPr>
        <w:t>六</w:t>
      </w:r>
      <w:r>
        <w:rPr>
          <w:rFonts w:ascii="仿宋" w:hAnsi="仿宋" w:eastAsia="仿宋"/>
          <w:color w:val="000000"/>
          <w:sz w:val="28"/>
          <w:szCs w:val="28"/>
        </w:rPr>
        <w:t>届职业技能大赛</w:t>
      </w:r>
      <w:r>
        <w:rPr>
          <w:rFonts w:hint="eastAsia" w:ascii="仿宋" w:hAnsi="仿宋" w:eastAsia="仿宋"/>
          <w:color w:val="000000"/>
          <w:sz w:val="28"/>
          <w:szCs w:val="28"/>
        </w:rPr>
        <w:t>服装产业集群赛服装水洗工项目</w:t>
      </w:r>
      <w:r>
        <w:rPr>
          <w:rFonts w:ascii="仿宋" w:hAnsi="仿宋" w:eastAsia="仿宋"/>
          <w:color w:val="000000"/>
          <w:sz w:val="28"/>
          <w:szCs w:val="28"/>
        </w:rPr>
        <w:t>执委会</w:t>
      </w:r>
    </w:p>
    <w:p w14:paraId="7C88107D">
      <w:pPr>
        <w:spacing w:line="560" w:lineRule="exact"/>
        <w:jc w:val="center"/>
        <w:rPr>
          <w:rFonts w:hint="eastAsia" w:ascii="仿宋" w:hAnsi="仿宋" w:eastAsia="仿宋"/>
          <w:color w:val="000000"/>
          <w:sz w:val="28"/>
          <w:szCs w:val="28"/>
        </w:rPr>
      </w:pPr>
    </w:p>
    <w:p w14:paraId="591FBFC9">
      <w:pPr>
        <w:spacing w:line="560" w:lineRule="exact"/>
        <w:jc w:val="center"/>
        <w:rPr>
          <w:rFonts w:hint="eastAsia" w:ascii="仿宋" w:hAnsi="仿宋" w:eastAsia="仿宋"/>
          <w:color w:val="000000"/>
          <w:sz w:val="28"/>
          <w:szCs w:val="28"/>
        </w:rPr>
      </w:pPr>
    </w:p>
    <w:p w14:paraId="66233049">
      <w:pPr>
        <w:adjustRightInd w:val="0"/>
        <w:snapToGrid w:val="0"/>
        <w:spacing w:line="360" w:lineRule="auto"/>
        <w:ind w:firstLine="482"/>
        <w:rPr>
          <w:rFonts w:hint="eastAsia" w:ascii="仿宋" w:hAnsi="仿宋" w:eastAsia="仿宋" w:cs="宋体"/>
          <w:b/>
          <w:kern w:val="0"/>
          <w:sz w:val="28"/>
          <w:szCs w:val="28"/>
        </w:rPr>
      </w:pPr>
      <w:r>
        <w:rPr>
          <w:rFonts w:hint="eastAsia" w:ascii="仿宋" w:hAnsi="仿宋" w:eastAsia="仿宋" w:cs="宋体"/>
          <w:kern w:val="0"/>
          <w:sz w:val="28"/>
          <w:szCs w:val="28"/>
        </w:rPr>
        <w:t>主办单位：</w:t>
      </w:r>
      <w:r>
        <w:rPr>
          <w:rFonts w:hint="eastAsia" w:ascii="仿宋" w:hAnsi="仿宋" w:eastAsia="仿宋" w:cs="宋体"/>
          <w:kern w:val="0"/>
          <w:sz w:val="28"/>
          <w:szCs w:val="28"/>
          <w:lang w:val="en-US" w:eastAsia="zh-CN"/>
        </w:rPr>
        <w:t>中山</w:t>
      </w:r>
      <w:r>
        <w:rPr>
          <w:rFonts w:hint="eastAsia" w:ascii="仿宋" w:hAnsi="仿宋" w:eastAsia="仿宋" w:cs="宋体"/>
          <w:kern w:val="0"/>
          <w:sz w:val="28"/>
          <w:szCs w:val="28"/>
        </w:rPr>
        <w:t>市人力资源和社会保障局</w:t>
      </w:r>
    </w:p>
    <w:p w14:paraId="369DF529">
      <w:pPr>
        <w:adjustRightInd w:val="0"/>
        <w:snapToGrid w:val="0"/>
        <w:spacing w:line="360" w:lineRule="auto"/>
        <w:ind w:firstLine="482"/>
        <w:rPr>
          <w:rFonts w:hint="eastAsia" w:ascii="仿宋" w:hAnsi="仿宋" w:eastAsia="仿宋" w:cs="宋体"/>
          <w:kern w:val="0"/>
          <w:sz w:val="28"/>
          <w:szCs w:val="28"/>
          <w:lang w:val="en-US" w:eastAsia="zh-CN"/>
        </w:rPr>
      </w:pPr>
      <w:r>
        <w:rPr>
          <w:rFonts w:hint="eastAsia" w:ascii="仿宋" w:hAnsi="仿宋" w:eastAsia="仿宋" w:cs="宋体"/>
          <w:kern w:val="0"/>
          <w:sz w:val="28"/>
          <w:szCs w:val="28"/>
        </w:rPr>
        <w:t>承办</w:t>
      </w:r>
      <w:r>
        <w:rPr>
          <w:rFonts w:ascii="仿宋" w:hAnsi="仿宋" w:eastAsia="仿宋" w:cs="宋体"/>
          <w:kern w:val="0"/>
          <w:sz w:val="28"/>
          <w:szCs w:val="28"/>
        </w:rPr>
        <w:t>单位：</w:t>
      </w:r>
      <w:r>
        <w:rPr>
          <w:rFonts w:hint="eastAsia" w:ascii="仿宋" w:hAnsi="仿宋" w:eastAsia="仿宋" w:cs="宋体"/>
          <w:kern w:val="0"/>
          <w:sz w:val="28"/>
          <w:szCs w:val="28"/>
          <w:lang w:val="en-US" w:eastAsia="zh-CN"/>
        </w:rPr>
        <w:t>中山市大涌镇人民政府</w:t>
      </w:r>
    </w:p>
    <w:p w14:paraId="5FAA6525">
      <w:pPr>
        <w:adjustRightInd w:val="0"/>
        <w:snapToGrid w:val="0"/>
        <w:spacing w:line="360" w:lineRule="auto"/>
        <w:ind w:firstLine="1960" w:firstLineChars="700"/>
        <w:rPr>
          <w:rFonts w:hint="default"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中山市工贸高级技工学校</w:t>
      </w:r>
    </w:p>
    <w:p w14:paraId="1D59BD92">
      <w:pPr>
        <w:adjustRightInd w:val="0"/>
        <w:snapToGrid w:val="0"/>
        <w:spacing w:line="360" w:lineRule="auto"/>
        <w:ind w:firstLine="482"/>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rPr>
        <w:t>支持单位：</w:t>
      </w:r>
      <w:r>
        <w:rPr>
          <w:rFonts w:hint="eastAsia" w:ascii="仿宋" w:hAnsi="仿宋" w:eastAsia="仿宋" w:cs="宋体"/>
          <w:kern w:val="0"/>
          <w:sz w:val="28"/>
          <w:szCs w:val="28"/>
          <w:highlight w:val="none"/>
          <w:lang w:val="en-US" w:eastAsia="zh-CN"/>
        </w:rPr>
        <w:t>中山市大涌镇商会</w:t>
      </w:r>
    </w:p>
    <w:p w14:paraId="073F8FE9">
      <w:pPr>
        <w:adjustRightInd w:val="0"/>
        <w:snapToGrid w:val="0"/>
        <w:spacing w:line="360" w:lineRule="auto"/>
        <w:jc w:val="center"/>
        <w:rPr>
          <w:rFonts w:hint="eastAsia" w:ascii="仿宋" w:hAnsi="仿宋" w:eastAsia="仿宋"/>
          <w:sz w:val="28"/>
          <w:szCs w:val="28"/>
          <w:highlight w:val="none"/>
        </w:rPr>
      </w:pPr>
      <w:r>
        <w:rPr>
          <w:rFonts w:ascii="仿宋" w:hAnsi="仿宋" w:eastAsia="仿宋" w:cs="方正仿宋_GB18030"/>
          <w:sz w:val="28"/>
          <w:szCs w:val="28"/>
          <w:highlight w:val="none"/>
        </w:rPr>
        <w:t>202</w:t>
      </w:r>
      <w:r>
        <w:rPr>
          <w:rFonts w:hint="eastAsia" w:ascii="仿宋" w:hAnsi="仿宋" w:eastAsia="仿宋" w:cs="方正仿宋_GB18030"/>
          <w:sz w:val="28"/>
          <w:szCs w:val="28"/>
          <w:highlight w:val="none"/>
        </w:rPr>
        <w:t>6</w:t>
      </w:r>
      <w:r>
        <w:rPr>
          <w:rFonts w:ascii="仿宋" w:hAnsi="仿宋" w:eastAsia="仿宋" w:cs="方正仿宋_GB18030"/>
          <w:sz w:val="28"/>
          <w:szCs w:val="28"/>
          <w:highlight w:val="none"/>
        </w:rPr>
        <w:t>年</w:t>
      </w:r>
      <w:r>
        <w:rPr>
          <w:rFonts w:hint="eastAsia" w:ascii="仿宋" w:hAnsi="仿宋" w:eastAsia="仿宋" w:cs="方正仿宋_GB18030"/>
          <w:sz w:val="28"/>
          <w:szCs w:val="28"/>
          <w:highlight w:val="none"/>
          <w:lang w:val="en-US" w:eastAsia="zh-CN"/>
        </w:rPr>
        <w:t>9</w:t>
      </w:r>
      <w:r>
        <w:rPr>
          <w:rFonts w:hint="eastAsia" w:ascii="仿宋" w:hAnsi="仿宋" w:eastAsia="仿宋" w:cs="方正仿宋_GB18030"/>
          <w:sz w:val="28"/>
          <w:szCs w:val="28"/>
          <w:highlight w:val="none"/>
        </w:rPr>
        <w:t>月</w:t>
      </w:r>
    </w:p>
    <w:p w14:paraId="2C2E5109">
      <w:pPr>
        <w:widowControl/>
        <w:adjustRightInd w:val="0"/>
        <w:snapToGrid w:val="0"/>
        <w:spacing w:line="360" w:lineRule="auto"/>
        <w:jc w:val="center"/>
        <w:rPr>
          <w:rFonts w:hint="eastAsia" w:ascii="仿宋" w:hAnsi="仿宋" w:eastAsia="仿宋" w:cs="方正仿宋_GB18030"/>
          <w:sz w:val="32"/>
          <w:szCs w:val="32"/>
        </w:rPr>
        <w:sectPr>
          <w:headerReference r:id="rId3" w:type="default"/>
          <w:footerReference r:id="rId4" w:type="even"/>
          <w:pgSz w:w="11906" w:h="16838"/>
          <w:pgMar w:top="1247" w:right="1588" w:bottom="1247" w:left="1588" w:header="851" w:footer="992" w:gutter="0"/>
          <w:pgNumType w:start="1"/>
          <w:cols w:space="720" w:num="1"/>
          <w:docGrid w:linePitch="312" w:charSpace="0"/>
        </w:sectPr>
      </w:pPr>
    </w:p>
    <w:p w14:paraId="2EE2DBE9">
      <w:pPr>
        <w:widowControl/>
        <w:adjustRightInd w:val="0"/>
        <w:snapToGrid w:val="0"/>
        <w:spacing w:line="360" w:lineRule="auto"/>
        <w:jc w:val="center"/>
        <w:rPr>
          <w:rFonts w:hint="eastAsia" w:ascii="仿宋" w:hAnsi="仿宋" w:eastAsia="仿宋" w:cs="方正仿宋_GB18030"/>
          <w:b/>
          <w:sz w:val="36"/>
          <w:szCs w:val="36"/>
        </w:rPr>
      </w:pPr>
      <w:r>
        <w:rPr>
          <w:rFonts w:hint="eastAsia" w:ascii="仿宋" w:hAnsi="仿宋" w:eastAsia="仿宋" w:cs="方正仿宋_GB18030"/>
          <w:b/>
          <w:sz w:val="36"/>
          <w:szCs w:val="36"/>
        </w:rPr>
        <w:t>目录</w:t>
      </w:r>
    </w:p>
    <w:p w14:paraId="7E07A684">
      <w:pPr>
        <w:pStyle w:val="11"/>
        <w:tabs>
          <w:tab w:val="right" w:leader="dot" w:pos="8730"/>
          <w:tab w:val="clear" w:pos="8296"/>
        </w:tabs>
      </w:pPr>
      <w:r>
        <w:rPr>
          <w:rFonts w:ascii="仿宋" w:hAnsi="仿宋" w:eastAsia="仿宋"/>
        </w:rPr>
        <w:fldChar w:fldCharType="begin"/>
      </w:r>
      <w:r>
        <w:rPr>
          <w:rFonts w:ascii="仿宋" w:hAnsi="仿宋" w:eastAsia="仿宋"/>
        </w:rPr>
        <w:instrText xml:space="preserve"> TOC \o "1-3" \h \z \u </w:instrText>
      </w:r>
      <w:r>
        <w:rPr>
          <w:rFonts w:ascii="仿宋" w:hAnsi="仿宋" w:eastAsia="仿宋"/>
        </w:rPr>
        <w:fldChar w:fldCharType="separate"/>
      </w:r>
      <w:r>
        <w:fldChar w:fldCharType="begin"/>
      </w:r>
      <w:r>
        <w:instrText xml:space="preserve"> HYPERLINK \l "_Toc31070" </w:instrText>
      </w:r>
      <w:r>
        <w:fldChar w:fldCharType="separate"/>
      </w:r>
      <w:r>
        <w:rPr>
          <w:rFonts w:ascii="仿宋" w:hAnsi="仿宋" w:eastAsia="仿宋"/>
          <w:szCs w:val="32"/>
        </w:rPr>
        <w:t>1.</w:t>
      </w:r>
      <w:r>
        <w:rPr>
          <w:rFonts w:hint="eastAsia" w:ascii="仿宋" w:hAnsi="仿宋" w:eastAsia="仿宋"/>
          <w:szCs w:val="32"/>
        </w:rPr>
        <w:t>技术描述</w:t>
      </w:r>
      <w:r>
        <w:tab/>
      </w:r>
      <w:r>
        <w:fldChar w:fldCharType="begin"/>
      </w:r>
      <w:r>
        <w:instrText xml:space="preserve"> PAGEREF _Toc31070 \h </w:instrText>
      </w:r>
      <w:r>
        <w:fldChar w:fldCharType="separate"/>
      </w:r>
      <w:r>
        <w:t>1</w:t>
      </w:r>
      <w:r>
        <w:fldChar w:fldCharType="end"/>
      </w:r>
      <w:r>
        <w:fldChar w:fldCharType="end"/>
      </w:r>
    </w:p>
    <w:p w14:paraId="2EF2C901">
      <w:pPr>
        <w:pStyle w:val="12"/>
        <w:tabs>
          <w:tab w:val="right" w:leader="dot" w:pos="8730"/>
        </w:tabs>
      </w:pPr>
      <w:r>
        <w:fldChar w:fldCharType="begin"/>
      </w:r>
      <w:r>
        <w:instrText xml:space="preserve"> HYPERLINK \l "_Toc23299" </w:instrText>
      </w:r>
      <w:r>
        <w:fldChar w:fldCharType="separate"/>
      </w:r>
      <w:r>
        <w:rPr>
          <w:rFonts w:ascii="仿宋" w:hAnsi="仿宋" w:eastAsia="仿宋"/>
          <w:szCs w:val="30"/>
        </w:rPr>
        <w:t>1.1</w:t>
      </w:r>
      <w:r>
        <w:rPr>
          <w:rFonts w:hint="eastAsia" w:ascii="仿宋" w:hAnsi="仿宋" w:eastAsia="仿宋" w:cs="宋体"/>
          <w:szCs w:val="30"/>
        </w:rPr>
        <w:t>项目描述</w:t>
      </w:r>
      <w:r>
        <w:tab/>
      </w:r>
      <w:r>
        <w:fldChar w:fldCharType="begin"/>
      </w:r>
      <w:r>
        <w:instrText xml:space="preserve"> PAGEREF _Toc23299 \h </w:instrText>
      </w:r>
      <w:r>
        <w:fldChar w:fldCharType="separate"/>
      </w:r>
      <w:r>
        <w:t>1</w:t>
      </w:r>
      <w:r>
        <w:fldChar w:fldCharType="end"/>
      </w:r>
      <w:r>
        <w:fldChar w:fldCharType="end"/>
      </w:r>
    </w:p>
    <w:p w14:paraId="08013A9A">
      <w:pPr>
        <w:pStyle w:val="12"/>
        <w:tabs>
          <w:tab w:val="right" w:leader="dot" w:pos="8730"/>
        </w:tabs>
      </w:pPr>
      <w:r>
        <w:fldChar w:fldCharType="begin"/>
      </w:r>
      <w:r>
        <w:instrText xml:space="preserve"> HYPERLINK \l "_Toc24390" </w:instrText>
      </w:r>
      <w:r>
        <w:fldChar w:fldCharType="separate"/>
      </w:r>
      <w:r>
        <w:rPr>
          <w:rFonts w:ascii="仿宋" w:hAnsi="仿宋" w:eastAsia="仿宋"/>
        </w:rPr>
        <w:t>1.2</w:t>
      </w:r>
      <w:r>
        <w:rPr>
          <w:rFonts w:hint="eastAsia" w:ascii="仿宋" w:hAnsi="仿宋" w:eastAsia="仿宋"/>
        </w:rPr>
        <w:t>基本知识与能力要求</w:t>
      </w:r>
      <w:r>
        <w:tab/>
      </w:r>
      <w:r>
        <w:fldChar w:fldCharType="begin"/>
      </w:r>
      <w:r>
        <w:instrText xml:space="preserve"> PAGEREF _Toc24390 \h </w:instrText>
      </w:r>
      <w:r>
        <w:fldChar w:fldCharType="separate"/>
      </w:r>
      <w:r>
        <w:t>1</w:t>
      </w:r>
      <w:r>
        <w:fldChar w:fldCharType="end"/>
      </w:r>
      <w:r>
        <w:fldChar w:fldCharType="end"/>
      </w:r>
    </w:p>
    <w:p w14:paraId="5308FB40">
      <w:pPr>
        <w:pStyle w:val="11"/>
        <w:tabs>
          <w:tab w:val="right" w:leader="dot" w:pos="8730"/>
          <w:tab w:val="clear" w:pos="8296"/>
        </w:tabs>
      </w:pPr>
      <w:r>
        <w:fldChar w:fldCharType="begin"/>
      </w:r>
      <w:r>
        <w:instrText xml:space="preserve"> HYPERLINK \l "_Toc9884" </w:instrText>
      </w:r>
      <w:r>
        <w:fldChar w:fldCharType="separate"/>
      </w:r>
      <w:r>
        <w:rPr>
          <w:rFonts w:hint="eastAsia" w:ascii="仿宋" w:hAnsi="仿宋" w:eastAsia="仿宋"/>
          <w:szCs w:val="32"/>
        </w:rPr>
        <w:t>2</w:t>
      </w:r>
      <w:r>
        <w:rPr>
          <w:rFonts w:ascii="仿宋" w:hAnsi="仿宋" w:eastAsia="仿宋"/>
          <w:szCs w:val="32"/>
        </w:rPr>
        <w:t>.</w:t>
      </w:r>
      <w:r>
        <w:rPr>
          <w:rFonts w:hint="eastAsia" w:ascii="仿宋" w:hAnsi="仿宋" w:eastAsia="仿宋"/>
          <w:szCs w:val="32"/>
        </w:rPr>
        <w:t>竞赛项目</w:t>
      </w:r>
      <w:r>
        <w:tab/>
      </w:r>
      <w:r>
        <w:fldChar w:fldCharType="begin"/>
      </w:r>
      <w:r>
        <w:instrText xml:space="preserve"> PAGEREF _Toc9884 \h </w:instrText>
      </w:r>
      <w:r>
        <w:fldChar w:fldCharType="separate"/>
      </w:r>
      <w:r>
        <w:t>2</w:t>
      </w:r>
      <w:r>
        <w:fldChar w:fldCharType="end"/>
      </w:r>
      <w:r>
        <w:fldChar w:fldCharType="end"/>
      </w:r>
    </w:p>
    <w:p w14:paraId="6B6EEB0E">
      <w:pPr>
        <w:pStyle w:val="12"/>
        <w:tabs>
          <w:tab w:val="right" w:leader="dot" w:pos="8730"/>
        </w:tabs>
      </w:pPr>
      <w:r>
        <w:fldChar w:fldCharType="begin"/>
      </w:r>
      <w:r>
        <w:instrText xml:space="preserve"> HYPERLINK \l "_Toc9515" </w:instrText>
      </w:r>
      <w:r>
        <w:fldChar w:fldCharType="separate"/>
      </w:r>
      <w:r>
        <w:rPr>
          <w:rFonts w:hint="eastAsia" w:ascii="仿宋" w:hAnsi="仿宋" w:eastAsia="仿宋"/>
          <w:szCs w:val="30"/>
        </w:rPr>
        <w:t>2</w:t>
      </w:r>
      <w:r>
        <w:rPr>
          <w:rFonts w:ascii="仿宋" w:hAnsi="仿宋" w:eastAsia="仿宋"/>
          <w:szCs w:val="30"/>
        </w:rPr>
        <w:t>.</w:t>
      </w:r>
      <w:r>
        <w:rPr>
          <w:rFonts w:hint="eastAsia" w:ascii="仿宋" w:hAnsi="仿宋" w:eastAsia="仿宋"/>
          <w:szCs w:val="30"/>
        </w:rPr>
        <w:t>1竞赛时间及地点安排</w:t>
      </w:r>
      <w:r>
        <w:tab/>
      </w:r>
      <w:r>
        <w:fldChar w:fldCharType="begin"/>
      </w:r>
      <w:r>
        <w:instrText xml:space="preserve"> PAGEREF _Toc9515 \h </w:instrText>
      </w:r>
      <w:r>
        <w:fldChar w:fldCharType="separate"/>
      </w:r>
      <w:r>
        <w:t>2</w:t>
      </w:r>
      <w:r>
        <w:fldChar w:fldCharType="end"/>
      </w:r>
      <w:r>
        <w:fldChar w:fldCharType="end"/>
      </w:r>
    </w:p>
    <w:p w14:paraId="1BDABC62">
      <w:pPr>
        <w:pStyle w:val="12"/>
        <w:tabs>
          <w:tab w:val="right" w:leader="dot" w:pos="8730"/>
        </w:tabs>
      </w:pPr>
      <w:r>
        <w:fldChar w:fldCharType="begin"/>
      </w:r>
      <w:r>
        <w:instrText xml:space="preserve"> HYPERLINK \l "_Toc30968" </w:instrText>
      </w:r>
      <w:r>
        <w:fldChar w:fldCharType="separate"/>
      </w:r>
      <w:r>
        <w:rPr>
          <w:rFonts w:hint="eastAsia" w:ascii="仿宋" w:hAnsi="仿宋" w:eastAsia="仿宋"/>
          <w:szCs w:val="28"/>
        </w:rPr>
        <w:t>2</w:t>
      </w:r>
      <w:r>
        <w:rPr>
          <w:rFonts w:ascii="仿宋" w:hAnsi="仿宋" w:eastAsia="仿宋"/>
          <w:szCs w:val="28"/>
        </w:rPr>
        <w:t>.</w:t>
      </w:r>
      <w:r>
        <w:rPr>
          <w:rFonts w:hint="eastAsia" w:ascii="仿宋" w:hAnsi="仿宋" w:eastAsia="仿宋"/>
          <w:szCs w:val="28"/>
        </w:rPr>
        <w:t>2竞赛模块</w:t>
      </w:r>
      <w:r>
        <w:tab/>
      </w:r>
      <w:r>
        <w:fldChar w:fldCharType="begin"/>
      </w:r>
      <w:r>
        <w:instrText xml:space="preserve"> PAGEREF _Toc30968 \h </w:instrText>
      </w:r>
      <w:r>
        <w:fldChar w:fldCharType="separate"/>
      </w:r>
      <w:r>
        <w:t>3</w:t>
      </w:r>
      <w:r>
        <w:fldChar w:fldCharType="end"/>
      </w:r>
      <w:r>
        <w:fldChar w:fldCharType="end"/>
      </w:r>
    </w:p>
    <w:p w14:paraId="5201F490">
      <w:pPr>
        <w:pStyle w:val="12"/>
        <w:tabs>
          <w:tab w:val="right" w:leader="dot" w:pos="8730"/>
        </w:tabs>
      </w:pPr>
      <w:r>
        <w:fldChar w:fldCharType="begin"/>
      </w:r>
      <w:r>
        <w:instrText xml:space="preserve"> HYPERLINK \l "_Toc26512" </w:instrText>
      </w:r>
      <w:r>
        <w:fldChar w:fldCharType="separate"/>
      </w:r>
      <w:r>
        <w:rPr>
          <w:rFonts w:hint="eastAsia" w:ascii="仿宋" w:hAnsi="仿宋" w:eastAsia="仿宋"/>
          <w:szCs w:val="30"/>
        </w:rPr>
        <w:t>2</w:t>
      </w:r>
      <w:r>
        <w:rPr>
          <w:rFonts w:ascii="仿宋" w:hAnsi="仿宋" w:eastAsia="仿宋"/>
          <w:szCs w:val="30"/>
        </w:rPr>
        <w:t>.</w:t>
      </w:r>
      <w:r>
        <w:rPr>
          <w:rFonts w:hint="eastAsia" w:ascii="仿宋" w:hAnsi="仿宋" w:eastAsia="仿宋"/>
          <w:szCs w:val="30"/>
        </w:rPr>
        <w:t>3基本工作</w:t>
      </w:r>
      <w:r>
        <w:tab/>
      </w:r>
      <w:r>
        <w:fldChar w:fldCharType="begin"/>
      </w:r>
      <w:r>
        <w:instrText xml:space="preserve"> PAGEREF _Toc26512 \h </w:instrText>
      </w:r>
      <w:r>
        <w:fldChar w:fldCharType="separate"/>
      </w:r>
      <w:r>
        <w:t>4</w:t>
      </w:r>
      <w:r>
        <w:fldChar w:fldCharType="end"/>
      </w:r>
      <w:r>
        <w:fldChar w:fldCharType="end"/>
      </w:r>
    </w:p>
    <w:p w14:paraId="6B644415">
      <w:pPr>
        <w:pStyle w:val="12"/>
        <w:tabs>
          <w:tab w:val="right" w:leader="dot" w:pos="8730"/>
        </w:tabs>
      </w:pPr>
      <w:r>
        <w:fldChar w:fldCharType="begin"/>
      </w:r>
      <w:r>
        <w:instrText xml:space="preserve"> HYPERLINK \l "_Toc5247" </w:instrText>
      </w:r>
      <w:r>
        <w:fldChar w:fldCharType="separate"/>
      </w:r>
      <w:r>
        <w:rPr>
          <w:rFonts w:hint="eastAsia" w:ascii="仿宋" w:hAnsi="仿宋" w:eastAsia="仿宋"/>
          <w:szCs w:val="30"/>
        </w:rPr>
        <w:t>2</w:t>
      </w:r>
      <w:r>
        <w:rPr>
          <w:rFonts w:ascii="仿宋" w:hAnsi="仿宋" w:eastAsia="仿宋"/>
          <w:szCs w:val="30"/>
        </w:rPr>
        <w:t>.</w:t>
      </w:r>
      <w:r>
        <w:rPr>
          <w:rFonts w:hint="eastAsia" w:ascii="仿宋" w:hAnsi="仿宋" w:eastAsia="仿宋"/>
          <w:szCs w:val="30"/>
        </w:rPr>
        <w:t>4命题方式</w:t>
      </w:r>
      <w:r>
        <w:tab/>
      </w:r>
      <w:r>
        <w:fldChar w:fldCharType="begin"/>
      </w:r>
      <w:r>
        <w:instrText xml:space="preserve"> PAGEREF _Toc5247 \h </w:instrText>
      </w:r>
      <w:r>
        <w:fldChar w:fldCharType="separate"/>
      </w:r>
      <w:r>
        <w:t>6</w:t>
      </w:r>
      <w:r>
        <w:fldChar w:fldCharType="end"/>
      </w:r>
      <w:r>
        <w:fldChar w:fldCharType="end"/>
      </w:r>
    </w:p>
    <w:p w14:paraId="25C799CE">
      <w:pPr>
        <w:pStyle w:val="11"/>
        <w:tabs>
          <w:tab w:val="right" w:leader="dot" w:pos="8730"/>
          <w:tab w:val="clear" w:pos="8296"/>
        </w:tabs>
      </w:pPr>
      <w:r>
        <w:fldChar w:fldCharType="begin"/>
      </w:r>
      <w:r>
        <w:instrText xml:space="preserve"> HYPERLINK \l "_Toc16256" </w:instrText>
      </w:r>
      <w:r>
        <w:fldChar w:fldCharType="separate"/>
      </w:r>
      <w:r>
        <w:rPr>
          <w:rFonts w:hint="eastAsia" w:ascii="仿宋" w:hAnsi="仿宋" w:eastAsia="仿宋"/>
          <w:szCs w:val="32"/>
        </w:rPr>
        <w:t>3</w:t>
      </w:r>
      <w:r>
        <w:rPr>
          <w:rFonts w:ascii="仿宋" w:hAnsi="仿宋" w:eastAsia="仿宋"/>
          <w:szCs w:val="32"/>
        </w:rPr>
        <w:t>.</w:t>
      </w:r>
      <w:r>
        <w:rPr>
          <w:rFonts w:hint="eastAsia" w:ascii="仿宋" w:hAnsi="仿宋" w:eastAsia="仿宋"/>
          <w:szCs w:val="32"/>
        </w:rPr>
        <w:t>评分规则</w:t>
      </w:r>
      <w:r>
        <w:tab/>
      </w:r>
      <w:r>
        <w:fldChar w:fldCharType="begin"/>
      </w:r>
      <w:r>
        <w:instrText xml:space="preserve"> PAGEREF _Toc16256 \h </w:instrText>
      </w:r>
      <w:r>
        <w:fldChar w:fldCharType="separate"/>
      </w:r>
      <w:r>
        <w:t>7</w:t>
      </w:r>
      <w:r>
        <w:fldChar w:fldCharType="end"/>
      </w:r>
      <w:r>
        <w:fldChar w:fldCharType="end"/>
      </w:r>
    </w:p>
    <w:p w14:paraId="068D303C">
      <w:pPr>
        <w:pStyle w:val="12"/>
        <w:tabs>
          <w:tab w:val="right" w:leader="dot" w:pos="8730"/>
        </w:tabs>
      </w:pPr>
      <w:r>
        <w:fldChar w:fldCharType="begin"/>
      </w:r>
      <w:r>
        <w:instrText xml:space="preserve"> HYPERLINK \l "_Toc5444" </w:instrText>
      </w:r>
      <w:r>
        <w:fldChar w:fldCharType="separate"/>
      </w:r>
      <w:r>
        <w:rPr>
          <w:rFonts w:hint="eastAsia" w:ascii="仿宋" w:hAnsi="仿宋" w:eastAsia="仿宋"/>
          <w:szCs w:val="30"/>
        </w:rPr>
        <w:t>3</w:t>
      </w:r>
      <w:r>
        <w:rPr>
          <w:rFonts w:ascii="仿宋" w:hAnsi="仿宋" w:eastAsia="仿宋"/>
          <w:szCs w:val="30"/>
        </w:rPr>
        <w:t>.1</w:t>
      </w:r>
      <w:r>
        <w:rPr>
          <w:rFonts w:hint="eastAsia" w:ascii="仿宋" w:hAnsi="仿宋" w:eastAsia="仿宋"/>
          <w:szCs w:val="30"/>
        </w:rPr>
        <w:t>评价分与测量分</w:t>
      </w:r>
      <w:r>
        <w:tab/>
      </w:r>
      <w:r>
        <w:fldChar w:fldCharType="begin"/>
      </w:r>
      <w:r>
        <w:instrText xml:space="preserve"> PAGEREF _Toc5444 \h </w:instrText>
      </w:r>
      <w:r>
        <w:fldChar w:fldCharType="separate"/>
      </w:r>
      <w:r>
        <w:t>7</w:t>
      </w:r>
      <w:r>
        <w:fldChar w:fldCharType="end"/>
      </w:r>
      <w:r>
        <w:fldChar w:fldCharType="end"/>
      </w:r>
    </w:p>
    <w:p w14:paraId="18F6C872">
      <w:pPr>
        <w:pStyle w:val="12"/>
        <w:tabs>
          <w:tab w:val="right" w:leader="dot" w:pos="8730"/>
        </w:tabs>
      </w:pPr>
      <w:r>
        <w:fldChar w:fldCharType="begin"/>
      </w:r>
      <w:r>
        <w:instrText xml:space="preserve"> HYPERLINK \l "_Toc4627" </w:instrText>
      </w:r>
      <w:r>
        <w:fldChar w:fldCharType="separate"/>
      </w:r>
      <w:r>
        <w:rPr>
          <w:rFonts w:hint="eastAsia" w:ascii="仿宋" w:hAnsi="仿宋" w:eastAsia="仿宋"/>
          <w:szCs w:val="30"/>
        </w:rPr>
        <w:t>3</w:t>
      </w:r>
      <w:r>
        <w:rPr>
          <w:rFonts w:ascii="仿宋" w:hAnsi="仿宋" w:eastAsia="仿宋"/>
          <w:szCs w:val="30"/>
        </w:rPr>
        <w:t>.</w:t>
      </w:r>
      <w:r>
        <w:rPr>
          <w:rFonts w:hint="eastAsia" w:ascii="仿宋" w:hAnsi="仿宋" w:eastAsia="仿宋"/>
          <w:szCs w:val="30"/>
          <w:lang w:val="en-US" w:eastAsia="zh-CN"/>
        </w:rPr>
        <w:t>2</w:t>
      </w:r>
      <w:r>
        <w:rPr>
          <w:rFonts w:ascii="仿宋" w:hAnsi="仿宋" w:eastAsia="仿宋"/>
          <w:szCs w:val="30"/>
        </w:rPr>
        <w:t>成绩并列排序方法</w:t>
      </w:r>
      <w:r>
        <w:tab/>
      </w:r>
      <w:r>
        <w:fldChar w:fldCharType="begin"/>
      </w:r>
      <w:r>
        <w:instrText xml:space="preserve"> PAGEREF _Toc4627 \h </w:instrText>
      </w:r>
      <w:r>
        <w:fldChar w:fldCharType="separate"/>
      </w:r>
      <w:r>
        <w:t>8</w:t>
      </w:r>
      <w:r>
        <w:fldChar w:fldCharType="end"/>
      </w:r>
      <w:r>
        <w:fldChar w:fldCharType="end"/>
      </w:r>
    </w:p>
    <w:p w14:paraId="53A5BA5C">
      <w:pPr>
        <w:pStyle w:val="12"/>
        <w:tabs>
          <w:tab w:val="right" w:leader="dot" w:pos="8730"/>
        </w:tabs>
      </w:pPr>
      <w:r>
        <w:fldChar w:fldCharType="begin"/>
      </w:r>
      <w:r>
        <w:instrText xml:space="preserve"> HYPERLINK \l "_Toc6848" </w:instrText>
      </w:r>
      <w:r>
        <w:fldChar w:fldCharType="separate"/>
      </w:r>
      <w:r>
        <w:rPr>
          <w:rFonts w:hint="eastAsia" w:ascii="仿宋" w:hAnsi="仿宋" w:eastAsia="仿宋"/>
          <w:szCs w:val="30"/>
        </w:rPr>
        <w:t>3</w:t>
      </w:r>
      <w:r>
        <w:rPr>
          <w:rFonts w:ascii="仿宋" w:hAnsi="仿宋" w:eastAsia="仿宋"/>
          <w:szCs w:val="30"/>
        </w:rPr>
        <w:t>.</w:t>
      </w:r>
      <w:r>
        <w:rPr>
          <w:rFonts w:hint="eastAsia" w:ascii="仿宋" w:hAnsi="仿宋" w:eastAsia="仿宋"/>
          <w:szCs w:val="30"/>
          <w:lang w:val="en-US" w:eastAsia="zh-CN"/>
        </w:rPr>
        <w:t>3</w:t>
      </w:r>
      <w:r>
        <w:rPr>
          <w:rFonts w:hint="eastAsia" w:ascii="仿宋" w:hAnsi="仿宋" w:eastAsia="仿宋"/>
          <w:szCs w:val="30"/>
        </w:rPr>
        <w:t>裁判构成和分组</w:t>
      </w:r>
      <w:r>
        <w:tab/>
      </w:r>
      <w:r>
        <w:fldChar w:fldCharType="begin"/>
      </w:r>
      <w:r>
        <w:instrText xml:space="preserve"> PAGEREF _Toc6848 \h </w:instrText>
      </w:r>
      <w:r>
        <w:fldChar w:fldCharType="separate"/>
      </w:r>
      <w:r>
        <w:t>8</w:t>
      </w:r>
      <w:r>
        <w:fldChar w:fldCharType="end"/>
      </w:r>
      <w:r>
        <w:fldChar w:fldCharType="end"/>
      </w:r>
    </w:p>
    <w:p w14:paraId="7EA521FF">
      <w:pPr>
        <w:pStyle w:val="11"/>
        <w:tabs>
          <w:tab w:val="right" w:leader="dot" w:pos="8730"/>
          <w:tab w:val="clear" w:pos="8296"/>
        </w:tabs>
      </w:pPr>
      <w:r>
        <w:fldChar w:fldCharType="begin"/>
      </w:r>
      <w:r>
        <w:instrText xml:space="preserve"> HYPERLINK \l "_Toc25292" </w:instrText>
      </w:r>
      <w:r>
        <w:fldChar w:fldCharType="separate"/>
      </w:r>
      <w:r>
        <w:rPr>
          <w:rFonts w:hint="eastAsia" w:ascii="仿宋" w:hAnsi="仿宋" w:eastAsia="仿宋"/>
          <w:szCs w:val="32"/>
        </w:rPr>
        <w:t>4</w:t>
      </w:r>
      <w:r>
        <w:rPr>
          <w:rFonts w:ascii="仿宋" w:hAnsi="仿宋" w:eastAsia="仿宋"/>
          <w:szCs w:val="32"/>
        </w:rPr>
        <w:t>.</w:t>
      </w:r>
      <w:r>
        <w:rPr>
          <w:rFonts w:hint="eastAsia" w:ascii="仿宋" w:hAnsi="仿宋" w:eastAsia="仿宋"/>
          <w:szCs w:val="32"/>
        </w:rPr>
        <w:t>项目特别规定</w:t>
      </w:r>
      <w:r>
        <w:tab/>
      </w:r>
      <w:r>
        <w:fldChar w:fldCharType="begin"/>
      </w:r>
      <w:r>
        <w:instrText xml:space="preserve"> PAGEREF _Toc25292 \h </w:instrText>
      </w:r>
      <w:r>
        <w:fldChar w:fldCharType="separate"/>
      </w:r>
      <w:r>
        <w:t>9</w:t>
      </w:r>
      <w:r>
        <w:fldChar w:fldCharType="end"/>
      </w:r>
      <w:r>
        <w:fldChar w:fldCharType="end"/>
      </w:r>
    </w:p>
    <w:p w14:paraId="5D224500">
      <w:pPr>
        <w:pStyle w:val="11"/>
        <w:tabs>
          <w:tab w:val="right" w:leader="dot" w:pos="8730"/>
          <w:tab w:val="clear" w:pos="8296"/>
        </w:tabs>
      </w:pPr>
      <w:r>
        <w:fldChar w:fldCharType="begin"/>
      </w:r>
      <w:r>
        <w:instrText xml:space="preserve"> HYPERLINK \l "_Toc29413" </w:instrText>
      </w:r>
      <w:r>
        <w:fldChar w:fldCharType="separate"/>
      </w:r>
      <w:r>
        <w:rPr>
          <w:rFonts w:hint="eastAsia" w:ascii="仿宋" w:hAnsi="仿宋" w:eastAsia="仿宋"/>
          <w:szCs w:val="32"/>
        </w:rPr>
        <w:t>5</w:t>
      </w:r>
      <w:r>
        <w:rPr>
          <w:rFonts w:ascii="仿宋" w:hAnsi="仿宋" w:eastAsia="仿宋"/>
          <w:szCs w:val="32"/>
        </w:rPr>
        <w:t>.</w:t>
      </w:r>
      <w:r>
        <w:rPr>
          <w:rFonts w:hint="eastAsia" w:ascii="仿宋" w:hAnsi="仿宋" w:eastAsia="仿宋"/>
          <w:szCs w:val="32"/>
        </w:rPr>
        <w:t>竞赛相关设施设备</w:t>
      </w:r>
      <w:r>
        <w:tab/>
      </w:r>
      <w:r>
        <w:fldChar w:fldCharType="begin"/>
      </w:r>
      <w:r>
        <w:instrText xml:space="preserve"> PAGEREF _Toc29413 \h </w:instrText>
      </w:r>
      <w:r>
        <w:fldChar w:fldCharType="separate"/>
      </w:r>
      <w:r>
        <w:t>10</w:t>
      </w:r>
      <w:r>
        <w:fldChar w:fldCharType="end"/>
      </w:r>
      <w:r>
        <w:fldChar w:fldCharType="end"/>
      </w:r>
    </w:p>
    <w:p w14:paraId="4F4080D6">
      <w:pPr>
        <w:pStyle w:val="12"/>
        <w:tabs>
          <w:tab w:val="right" w:leader="dot" w:pos="8730"/>
        </w:tabs>
      </w:pPr>
      <w:r>
        <w:fldChar w:fldCharType="begin"/>
      </w:r>
      <w:r>
        <w:instrText xml:space="preserve"> HYPERLINK \l "_Toc7826" </w:instrText>
      </w:r>
      <w:r>
        <w:fldChar w:fldCharType="separate"/>
      </w:r>
      <w:r>
        <w:rPr>
          <w:rFonts w:hint="eastAsia" w:ascii="仿宋" w:hAnsi="仿宋" w:eastAsia="仿宋"/>
          <w:szCs w:val="30"/>
        </w:rPr>
        <w:t>5.1硬件设备要求</w:t>
      </w:r>
      <w:r>
        <w:tab/>
      </w:r>
      <w:r>
        <w:fldChar w:fldCharType="begin"/>
      </w:r>
      <w:r>
        <w:instrText xml:space="preserve"> PAGEREF _Toc7826 \h </w:instrText>
      </w:r>
      <w:r>
        <w:fldChar w:fldCharType="separate"/>
      </w:r>
      <w:r>
        <w:t>10</w:t>
      </w:r>
      <w:r>
        <w:fldChar w:fldCharType="end"/>
      </w:r>
      <w:r>
        <w:fldChar w:fldCharType="end"/>
      </w:r>
    </w:p>
    <w:p w14:paraId="10903EF0">
      <w:pPr>
        <w:pStyle w:val="12"/>
        <w:tabs>
          <w:tab w:val="right" w:leader="dot" w:pos="8730"/>
        </w:tabs>
      </w:pPr>
      <w:r>
        <w:fldChar w:fldCharType="begin"/>
      </w:r>
      <w:r>
        <w:instrText xml:space="preserve"> HYPERLINK \l "_Toc2450" </w:instrText>
      </w:r>
      <w:r>
        <w:fldChar w:fldCharType="separate"/>
      </w:r>
      <w:r>
        <w:rPr>
          <w:rFonts w:hint="eastAsia" w:ascii="仿宋" w:hAnsi="仿宋" w:eastAsia="仿宋"/>
          <w:szCs w:val="30"/>
        </w:rPr>
        <w:t>5</w:t>
      </w:r>
      <w:r>
        <w:rPr>
          <w:rFonts w:ascii="仿宋" w:hAnsi="仿宋" w:eastAsia="仿宋"/>
          <w:szCs w:val="30"/>
        </w:rPr>
        <w:t>.2比赛工位</w:t>
      </w:r>
      <w:r>
        <w:rPr>
          <w:rFonts w:hint="eastAsia" w:ascii="仿宋" w:hAnsi="仿宋" w:eastAsia="仿宋"/>
          <w:szCs w:val="30"/>
        </w:rPr>
        <w:t>配置</w:t>
      </w:r>
      <w:r>
        <w:rPr>
          <w:rFonts w:ascii="仿宋" w:hAnsi="仿宋" w:eastAsia="仿宋"/>
          <w:szCs w:val="30"/>
        </w:rPr>
        <w:t>设施</w:t>
      </w:r>
      <w:r>
        <w:tab/>
      </w:r>
      <w:r>
        <w:fldChar w:fldCharType="begin"/>
      </w:r>
      <w:r>
        <w:instrText xml:space="preserve"> PAGEREF _Toc2450 \h </w:instrText>
      </w:r>
      <w:r>
        <w:fldChar w:fldCharType="separate"/>
      </w:r>
      <w:r>
        <w:t>11</w:t>
      </w:r>
      <w:r>
        <w:fldChar w:fldCharType="end"/>
      </w:r>
      <w:r>
        <w:fldChar w:fldCharType="end"/>
      </w:r>
    </w:p>
    <w:p w14:paraId="5603AED9">
      <w:pPr>
        <w:pStyle w:val="11"/>
        <w:tabs>
          <w:tab w:val="right" w:leader="dot" w:pos="8730"/>
          <w:tab w:val="clear" w:pos="8296"/>
        </w:tabs>
      </w:pPr>
      <w:r>
        <w:fldChar w:fldCharType="begin"/>
      </w:r>
      <w:r>
        <w:instrText xml:space="preserve"> HYPERLINK \l "_Toc14503" </w:instrText>
      </w:r>
      <w:r>
        <w:fldChar w:fldCharType="separate"/>
      </w:r>
      <w:r>
        <w:rPr>
          <w:rFonts w:hint="eastAsia" w:ascii="仿宋" w:hAnsi="仿宋" w:eastAsia="仿宋"/>
          <w:szCs w:val="32"/>
        </w:rPr>
        <w:t>6</w:t>
      </w:r>
      <w:r>
        <w:rPr>
          <w:rFonts w:ascii="仿宋" w:hAnsi="仿宋" w:eastAsia="仿宋"/>
          <w:szCs w:val="32"/>
        </w:rPr>
        <w:t>.</w:t>
      </w:r>
      <w:r>
        <w:rPr>
          <w:rFonts w:hint="eastAsia" w:ascii="仿宋" w:hAnsi="仿宋" w:eastAsia="仿宋"/>
          <w:szCs w:val="32"/>
        </w:rPr>
        <w:t>赛场布局要求</w:t>
      </w:r>
      <w:r>
        <w:tab/>
      </w:r>
      <w:r>
        <w:fldChar w:fldCharType="begin"/>
      </w:r>
      <w:r>
        <w:instrText xml:space="preserve"> PAGEREF _Toc14503 \h </w:instrText>
      </w:r>
      <w:r>
        <w:fldChar w:fldCharType="separate"/>
      </w:r>
      <w:r>
        <w:t>12</w:t>
      </w:r>
      <w:r>
        <w:fldChar w:fldCharType="end"/>
      </w:r>
      <w:r>
        <w:fldChar w:fldCharType="end"/>
      </w:r>
    </w:p>
    <w:p w14:paraId="071D51D9">
      <w:pPr>
        <w:pStyle w:val="12"/>
        <w:tabs>
          <w:tab w:val="right" w:leader="dot" w:pos="8730"/>
        </w:tabs>
      </w:pPr>
      <w:r>
        <w:fldChar w:fldCharType="begin"/>
      </w:r>
      <w:r>
        <w:instrText xml:space="preserve"> HYPERLINK \l "_Toc27801" </w:instrText>
      </w:r>
      <w:r>
        <w:fldChar w:fldCharType="separate"/>
      </w:r>
      <w:r>
        <w:rPr>
          <w:rFonts w:hint="eastAsia" w:ascii="仿宋" w:hAnsi="仿宋" w:eastAsia="仿宋"/>
          <w:szCs w:val="30"/>
        </w:rPr>
        <w:t>6.1赛场规格要求</w:t>
      </w:r>
      <w:r>
        <w:tab/>
      </w:r>
      <w:r>
        <w:fldChar w:fldCharType="begin"/>
      </w:r>
      <w:r>
        <w:instrText xml:space="preserve"> PAGEREF _Toc27801 \h </w:instrText>
      </w:r>
      <w:r>
        <w:fldChar w:fldCharType="separate"/>
      </w:r>
      <w:r>
        <w:t>12</w:t>
      </w:r>
      <w:r>
        <w:fldChar w:fldCharType="end"/>
      </w:r>
      <w:r>
        <w:fldChar w:fldCharType="end"/>
      </w:r>
    </w:p>
    <w:p w14:paraId="4B45E9B5">
      <w:pPr>
        <w:pStyle w:val="12"/>
        <w:tabs>
          <w:tab w:val="right" w:leader="dot" w:pos="8730"/>
        </w:tabs>
      </w:pPr>
      <w:r>
        <w:fldChar w:fldCharType="begin"/>
      </w:r>
      <w:r>
        <w:instrText xml:space="preserve"> HYPERLINK \l "_Toc6373" </w:instrText>
      </w:r>
      <w:r>
        <w:fldChar w:fldCharType="separate"/>
      </w:r>
      <w:r>
        <w:rPr>
          <w:rFonts w:hint="eastAsia" w:ascii="仿宋" w:hAnsi="仿宋" w:eastAsia="仿宋"/>
          <w:szCs w:val="30"/>
        </w:rPr>
        <w:t>6.2场地布局图</w:t>
      </w:r>
      <w:r>
        <w:tab/>
      </w:r>
      <w:r>
        <w:fldChar w:fldCharType="begin"/>
      </w:r>
      <w:r>
        <w:instrText xml:space="preserve"> PAGEREF _Toc6373 \h </w:instrText>
      </w:r>
      <w:r>
        <w:fldChar w:fldCharType="separate"/>
      </w:r>
      <w:r>
        <w:t>12</w:t>
      </w:r>
      <w:r>
        <w:fldChar w:fldCharType="end"/>
      </w:r>
      <w:r>
        <w:fldChar w:fldCharType="end"/>
      </w:r>
    </w:p>
    <w:p w14:paraId="5AE43A3A">
      <w:pPr>
        <w:pStyle w:val="11"/>
        <w:tabs>
          <w:tab w:val="right" w:leader="dot" w:pos="8730"/>
          <w:tab w:val="clear" w:pos="8296"/>
        </w:tabs>
      </w:pPr>
      <w:r>
        <w:fldChar w:fldCharType="begin"/>
      </w:r>
      <w:r>
        <w:instrText xml:space="preserve"> HYPERLINK \l "_Toc22666" </w:instrText>
      </w:r>
      <w:r>
        <w:fldChar w:fldCharType="separate"/>
      </w:r>
      <w:r>
        <w:rPr>
          <w:rFonts w:hint="eastAsia" w:ascii="仿宋" w:hAnsi="仿宋" w:eastAsia="仿宋"/>
          <w:szCs w:val="32"/>
        </w:rPr>
        <w:t>7</w:t>
      </w:r>
      <w:r>
        <w:rPr>
          <w:rFonts w:ascii="仿宋" w:hAnsi="仿宋" w:eastAsia="仿宋"/>
          <w:szCs w:val="32"/>
        </w:rPr>
        <w:t>.</w:t>
      </w:r>
      <w:r>
        <w:rPr>
          <w:rFonts w:hint="eastAsia" w:ascii="仿宋" w:hAnsi="仿宋" w:eastAsia="仿宋"/>
          <w:szCs w:val="32"/>
        </w:rPr>
        <w:t>健康和安全</w:t>
      </w:r>
      <w:r>
        <w:tab/>
      </w:r>
      <w:r>
        <w:fldChar w:fldCharType="begin"/>
      </w:r>
      <w:r>
        <w:instrText xml:space="preserve"> PAGEREF _Toc22666 \h </w:instrText>
      </w:r>
      <w:r>
        <w:fldChar w:fldCharType="separate"/>
      </w:r>
      <w:r>
        <w:t>12</w:t>
      </w:r>
      <w:r>
        <w:fldChar w:fldCharType="end"/>
      </w:r>
      <w:r>
        <w:fldChar w:fldCharType="end"/>
      </w:r>
    </w:p>
    <w:p w14:paraId="0B16D65C">
      <w:pPr>
        <w:pStyle w:val="12"/>
        <w:tabs>
          <w:tab w:val="right" w:leader="dot" w:pos="8730"/>
        </w:tabs>
      </w:pPr>
      <w:r>
        <w:fldChar w:fldCharType="begin"/>
      </w:r>
      <w:r>
        <w:instrText xml:space="preserve"> HYPERLINK \l "_Toc13615" </w:instrText>
      </w:r>
      <w:r>
        <w:fldChar w:fldCharType="separate"/>
      </w:r>
      <w:r>
        <w:rPr>
          <w:rFonts w:hint="eastAsia" w:ascii="仿宋" w:hAnsi="仿宋" w:eastAsia="仿宋"/>
          <w:szCs w:val="30"/>
        </w:rPr>
        <w:t>7</w:t>
      </w:r>
      <w:r>
        <w:rPr>
          <w:rFonts w:ascii="仿宋" w:hAnsi="仿宋" w:eastAsia="仿宋"/>
          <w:szCs w:val="30"/>
        </w:rPr>
        <w:t>.1</w:t>
      </w:r>
      <w:r>
        <w:rPr>
          <w:rFonts w:hint="eastAsia" w:ascii="仿宋" w:hAnsi="仿宋" w:eastAsia="仿宋"/>
          <w:szCs w:val="30"/>
        </w:rPr>
        <w:t>选手安全防护要求—</w:t>
      </w:r>
      <w:r>
        <w:tab/>
      </w:r>
      <w:r>
        <w:fldChar w:fldCharType="begin"/>
      </w:r>
      <w:r>
        <w:instrText xml:space="preserve"> PAGEREF _Toc13615 \h </w:instrText>
      </w:r>
      <w:r>
        <w:fldChar w:fldCharType="separate"/>
      </w:r>
      <w:r>
        <w:t>12</w:t>
      </w:r>
      <w:r>
        <w:fldChar w:fldCharType="end"/>
      </w:r>
      <w:r>
        <w:fldChar w:fldCharType="end"/>
      </w:r>
    </w:p>
    <w:p w14:paraId="39116909">
      <w:pPr>
        <w:pStyle w:val="12"/>
        <w:tabs>
          <w:tab w:val="right" w:leader="dot" w:pos="8730"/>
        </w:tabs>
      </w:pPr>
      <w:r>
        <w:fldChar w:fldCharType="begin"/>
      </w:r>
      <w:r>
        <w:instrText xml:space="preserve"> HYPERLINK \l "_Toc20718" </w:instrText>
      </w:r>
      <w:r>
        <w:fldChar w:fldCharType="separate"/>
      </w:r>
      <w:r>
        <w:rPr>
          <w:rFonts w:hint="eastAsia" w:ascii="仿宋" w:hAnsi="仿宋" w:eastAsia="仿宋"/>
          <w:szCs w:val="30"/>
        </w:rPr>
        <w:t>7</w:t>
      </w:r>
      <w:r>
        <w:rPr>
          <w:rFonts w:ascii="仿宋" w:hAnsi="仿宋" w:eastAsia="仿宋"/>
          <w:szCs w:val="30"/>
        </w:rPr>
        <w:t>.2安全健康</w:t>
      </w:r>
      <w:r>
        <w:rPr>
          <w:rFonts w:hint="eastAsia" w:ascii="仿宋" w:hAnsi="仿宋" w:eastAsia="仿宋"/>
          <w:szCs w:val="30"/>
        </w:rPr>
        <w:t>要求—</w:t>
      </w:r>
      <w:r>
        <w:tab/>
      </w:r>
      <w:r>
        <w:fldChar w:fldCharType="begin"/>
      </w:r>
      <w:r>
        <w:instrText xml:space="preserve"> PAGEREF _Toc20718 \h </w:instrText>
      </w:r>
      <w:r>
        <w:fldChar w:fldCharType="separate"/>
      </w:r>
      <w:r>
        <w:t>13</w:t>
      </w:r>
      <w:r>
        <w:fldChar w:fldCharType="end"/>
      </w:r>
      <w:r>
        <w:fldChar w:fldCharType="end"/>
      </w:r>
    </w:p>
    <w:p w14:paraId="1A88E399">
      <w:pPr>
        <w:pStyle w:val="11"/>
        <w:tabs>
          <w:tab w:val="right" w:leader="dot" w:pos="8730"/>
          <w:tab w:val="clear" w:pos="8296"/>
        </w:tabs>
      </w:pPr>
      <w:r>
        <w:fldChar w:fldCharType="begin"/>
      </w:r>
      <w:r>
        <w:instrText xml:space="preserve"> HYPERLINK \l "_Toc7003" </w:instrText>
      </w:r>
      <w:r>
        <w:fldChar w:fldCharType="separate"/>
      </w:r>
      <w:r>
        <w:rPr>
          <w:rFonts w:hint="eastAsia" w:ascii="仿宋" w:hAnsi="仿宋" w:eastAsia="仿宋"/>
          <w:szCs w:val="32"/>
        </w:rPr>
        <w:t>8</w:t>
      </w:r>
      <w:r>
        <w:rPr>
          <w:rFonts w:ascii="仿宋" w:hAnsi="仿宋" w:eastAsia="仿宋"/>
          <w:szCs w:val="32"/>
        </w:rPr>
        <w:t>.</w:t>
      </w:r>
      <w:r>
        <w:rPr>
          <w:rFonts w:hint="eastAsia" w:ascii="仿宋" w:hAnsi="仿宋" w:eastAsia="仿宋"/>
          <w:szCs w:val="32"/>
        </w:rPr>
        <w:t>竞赛规则</w:t>
      </w:r>
      <w:r>
        <w:tab/>
      </w:r>
      <w:r>
        <w:fldChar w:fldCharType="begin"/>
      </w:r>
      <w:r>
        <w:instrText xml:space="preserve"> PAGEREF _Toc7003 \h </w:instrText>
      </w:r>
      <w:r>
        <w:fldChar w:fldCharType="separate"/>
      </w:r>
      <w:r>
        <w:t>14</w:t>
      </w:r>
      <w:r>
        <w:fldChar w:fldCharType="end"/>
      </w:r>
      <w:r>
        <w:fldChar w:fldCharType="end"/>
      </w:r>
    </w:p>
    <w:p w14:paraId="3E8F30A9">
      <w:pPr>
        <w:pStyle w:val="12"/>
        <w:tabs>
          <w:tab w:val="right" w:leader="dot" w:pos="8730"/>
        </w:tabs>
      </w:pPr>
      <w:r>
        <w:fldChar w:fldCharType="begin"/>
      </w:r>
      <w:r>
        <w:instrText xml:space="preserve"> HYPERLINK \l "_Toc2823" </w:instrText>
      </w:r>
      <w:r>
        <w:fldChar w:fldCharType="separate"/>
      </w:r>
      <w:r>
        <w:rPr>
          <w:rFonts w:hint="eastAsia" w:ascii="仿宋" w:hAnsi="仿宋" w:eastAsia="仿宋"/>
          <w:szCs w:val="30"/>
        </w:rPr>
        <w:t>8.1领队须知</w:t>
      </w:r>
      <w:r>
        <w:tab/>
      </w:r>
      <w:r>
        <w:fldChar w:fldCharType="begin"/>
      </w:r>
      <w:r>
        <w:instrText xml:space="preserve"> PAGEREF _Toc2823 \h </w:instrText>
      </w:r>
      <w:r>
        <w:fldChar w:fldCharType="separate"/>
      </w:r>
      <w:r>
        <w:t>14</w:t>
      </w:r>
      <w:r>
        <w:fldChar w:fldCharType="end"/>
      </w:r>
      <w:r>
        <w:fldChar w:fldCharType="end"/>
      </w:r>
    </w:p>
    <w:p w14:paraId="56C58CC3">
      <w:pPr>
        <w:pStyle w:val="12"/>
        <w:tabs>
          <w:tab w:val="right" w:leader="dot" w:pos="8730"/>
        </w:tabs>
      </w:pPr>
      <w:r>
        <w:fldChar w:fldCharType="begin"/>
      </w:r>
      <w:r>
        <w:instrText xml:space="preserve"> HYPERLINK \l "_Toc5976" </w:instrText>
      </w:r>
      <w:r>
        <w:fldChar w:fldCharType="separate"/>
      </w:r>
      <w:r>
        <w:rPr>
          <w:rFonts w:hint="eastAsia" w:ascii="仿宋" w:hAnsi="仿宋" w:eastAsia="仿宋"/>
          <w:szCs w:val="30"/>
        </w:rPr>
        <w:t>8.2选手须知</w:t>
      </w:r>
      <w:r>
        <w:tab/>
      </w:r>
      <w:r>
        <w:fldChar w:fldCharType="begin"/>
      </w:r>
      <w:r>
        <w:instrText xml:space="preserve"> PAGEREF _Toc5976 \h </w:instrText>
      </w:r>
      <w:r>
        <w:fldChar w:fldCharType="separate"/>
      </w:r>
      <w:r>
        <w:t>14</w:t>
      </w:r>
      <w:r>
        <w:fldChar w:fldCharType="end"/>
      </w:r>
      <w:r>
        <w:fldChar w:fldCharType="end"/>
      </w:r>
    </w:p>
    <w:p w14:paraId="7473987B">
      <w:pPr>
        <w:pStyle w:val="12"/>
        <w:tabs>
          <w:tab w:val="right" w:leader="dot" w:pos="8730"/>
        </w:tabs>
      </w:pPr>
      <w:r>
        <w:fldChar w:fldCharType="begin"/>
      </w:r>
      <w:r>
        <w:instrText xml:space="preserve"> HYPERLINK \l "_Toc18394" </w:instrText>
      </w:r>
      <w:r>
        <w:fldChar w:fldCharType="separate"/>
      </w:r>
      <w:r>
        <w:rPr>
          <w:rFonts w:hint="eastAsia" w:ascii="仿宋" w:hAnsi="仿宋" w:eastAsia="仿宋"/>
          <w:szCs w:val="30"/>
        </w:rPr>
        <w:t>8.3裁判员须知</w:t>
      </w:r>
      <w:r>
        <w:tab/>
      </w:r>
      <w:r>
        <w:fldChar w:fldCharType="begin"/>
      </w:r>
      <w:r>
        <w:instrText xml:space="preserve"> PAGEREF _Toc18394 \h </w:instrText>
      </w:r>
      <w:r>
        <w:fldChar w:fldCharType="separate"/>
      </w:r>
      <w:r>
        <w:t>15</w:t>
      </w:r>
      <w:r>
        <w:fldChar w:fldCharType="end"/>
      </w:r>
      <w:r>
        <w:fldChar w:fldCharType="end"/>
      </w:r>
    </w:p>
    <w:p w14:paraId="05EA319C">
      <w:pPr>
        <w:pStyle w:val="12"/>
        <w:tabs>
          <w:tab w:val="right" w:leader="dot" w:pos="8730"/>
        </w:tabs>
      </w:pPr>
      <w:r>
        <w:fldChar w:fldCharType="begin"/>
      </w:r>
      <w:r>
        <w:instrText xml:space="preserve"> HYPERLINK \l "_Toc16289" </w:instrText>
      </w:r>
      <w:r>
        <w:fldChar w:fldCharType="separate"/>
      </w:r>
      <w:r>
        <w:rPr>
          <w:rFonts w:hint="eastAsia" w:ascii="仿宋" w:hAnsi="仿宋" w:eastAsia="仿宋"/>
          <w:szCs w:val="30"/>
        </w:rPr>
        <w:t>8.4赛场规则</w:t>
      </w:r>
      <w:r>
        <w:tab/>
      </w:r>
      <w:r>
        <w:fldChar w:fldCharType="begin"/>
      </w:r>
      <w:r>
        <w:instrText xml:space="preserve"> PAGEREF _Toc16289 \h </w:instrText>
      </w:r>
      <w:r>
        <w:fldChar w:fldCharType="separate"/>
      </w:r>
      <w:r>
        <w:t>15</w:t>
      </w:r>
      <w:r>
        <w:fldChar w:fldCharType="end"/>
      </w:r>
      <w:r>
        <w:fldChar w:fldCharType="end"/>
      </w:r>
    </w:p>
    <w:p w14:paraId="0E560524">
      <w:pPr>
        <w:pStyle w:val="11"/>
        <w:tabs>
          <w:tab w:val="right" w:leader="dot" w:pos="8730"/>
          <w:tab w:val="clear" w:pos="8296"/>
        </w:tabs>
      </w:pPr>
      <w:r>
        <w:fldChar w:fldCharType="begin"/>
      </w:r>
      <w:r>
        <w:instrText xml:space="preserve"> HYPERLINK \l "_Toc24407" </w:instrText>
      </w:r>
      <w:r>
        <w:fldChar w:fldCharType="separate"/>
      </w:r>
      <w:r>
        <w:rPr>
          <w:rFonts w:hint="eastAsia" w:ascii="仿宋" w:hAnsi="仿宋" w:eastAsia="仿宋"/>
          <w:szCs w:val="32"/>
        </w:rPr>
        <w:t>9</w:t>
      </w:r>
      <w:r>
        <w:rPr>
          <w:rFonts w:ascii="仿宋" w:hAnsi="仿宋" w:eastAsia="仿宋"/>
          <w:szCs w:val="32"/>
        </w:rPr>
        <w:t>违规处理</w:t>
      </w:r>
      <w:r>
        <w:tab/>
      </w:r>
      <w:r>
        <w:fldChar w:fldCharType="begin"/>
      </w:r>
      <w:r>
        <w:instrText xml:space="preserve"> PAGEREF _Toc24407 \h </w:instrText>
      </w:r>
      <w:r>
        <w:fldChar w:fldCharType="separate"/>
      </w:r>
      <w:r>
        <w:t>16</w:t>
      </w:r>
      <w:r>
        <w:fldChar w:fldCharType="end"/>
      </w:r>
      <w:r>
        <w:fldChar w:fldCharType="end"/>
      </w:r>
    </w:p>
    <w:p w14:paraId="070F4119">
      <w:pPr>
        <w:pStyle w:val="11"/>
        <w:tabs>
          <w:tab w:val="right" w:leader="dot" w:pos="8730"/>
          <w:tab w:val="clear" w:pos="8296"/>
        </w:tabs>
      </w:pPr>
      <w:r>
        <w:fldChar w:fldCharType="begin"/>
      </w:r>
      <w:r>
        <w:instrText xml:space="preserve"> HYPERLINK \l "_Toc16961" </w:instrText>
      </w:r>
      <w:r>
        <w:fldChar w:fldCharType="separate"/>
      </w:r>
      <w:r>
        <w:rPr>
          <w:rFonts w:hint="eastAsia" w:ascii="仿宋" w:hAnsi="仿宋" w:eastAsia="仿宋"/>
          <w:kern w:val="0"/>
          <w:szCs w:val="30"/>
        </w:rPr>
        <w:t>9.1</w:t>
      </w:r>
      <w:r>
        <w:rPr>
          <w:rFonts w:ascii="仿宋" w:hAnsi="仿宋" w:eastAsia="仿宋"/>
          <w:kern w:val="0"/>
          <w:szCs w:val="30"/>
        </w:rPr>
        <w:t>违规处理范围</w:t>
      </w:r>
      <w:r>
        <w:tab/>
      </w:r>
      <w:r>
        <w:fldChar w:fldCharType="begin"/>
      </w:r>
      <w:r>
        <w:instrText xml:space="preserve"> PAGEREF _Toc16961 \h </w:instrText>
      </w:r>
      <w:r>
        <w:fldChar w:fldCharType="separate"/>
      </w:r>
      <w:r>
        <w:t>16</w:t>
      </w:r>
      <w:r>
        <w:fldChar w:fldCharType="end"/>
      </w:r>
      <w:r>
        <w:fldChar w:fldCharType="end"/>
      </w:r>
    </w:p>
    <w:p w14:paraId="7BA4809C">
      <w:pPr>
        <w:pStyle w:val="11"/>
        <w:tabs>
          <w:tab w:val="right" w:leader="dot" w:pos="8730"/>
          <w:tab w:val="clear" w:pos="8296"/>
        </w:tabs>
      </w:pPr>
      <w:r>
        <w:fldChar w:fldCharType="begin"/>
      </w:r>
      <w:r>
        <w:instrText xml:space="preserve"> HYPERLINK \l "_Toc3536" </w:instrText>
      </w:r>
      <w:r>
        <w:fldChar w:fldCharType="separate"/>
      </w:r>
      <w:r>
        <w:rPr>
          <w:rFonts w:hint="eastAsia" w:ascii="仿宋" w:hAnsi="仿宋" w:eastAsia="仿宋"/>
          <w:kern w:val="0"/>
          <w:szCs w:val="30"/>
        </w:rPr>
        <w:t>9.2</w:t>
      </w:r>
      <w:r>
        <w:rPr>
          <w:rFonts w:ascii="仿宋" w:hAnsi="仿宋" w:eastAsia="仿宋"/>
          <w:kern w:val="0"/>
          <w:szCs w:val="30"/>
        </w:rPr>
        <w:t>违规处理实施</w:t>
      </w:r>
      <w:r>
        <w:tab/>
      </w:r>
      <w:r>
        <w:fldChar w:fldCharType="begin"/>
      </w:r>
      <w:r>
        <w:instrText xml:space="preserve"> PAGEREF _Toc3536 \h </w:instrText>
      </w:r>
      <w:r>
        <w:fldChar w:fldCharType="separate"/>
      </w:r>
      <w:r>
        <w:t>16</w:t>
      </w:r>
      <w:r>
        <w:fldChar w:fldCharType="end"/>
      </w:r>
      <w:r>
        <w:fldChar w:fldCharType="end"/>
      </w:r>
    </w:p>
    <w:p w14:paraId="75B8DF2B">
      <w:pPr>
        <w:pStyle w:val="11"/>
        <w:tabs>
          <w:tab w:val="right" w:leader="dot" w:pos="8730"/>
          <w:tab w:val="clear" w:pos="8296"/>
        </w:tabs>
      </w:pPr>
      <w:r>
        <w:fldChar w:fldCharType="begin"/>
      </w:r>
      <w:r>
        <w:instrText xml:space="preserve"> HYPERLINK \l "_Toc24303" </w:instrText>
      </w:r>
      <w:r>
        <w:fldChar w:fldCharType="separate"/>
      </w:r>
      <w:r>
        <w:rPr>
          <w:rFonts w:hint="eastAsia" w:ascii="仿宋" w:hAnsi="仿宋" w:eastAsia="仿宋"/>
          <w:kern w:val="0"/>
          <w:szCs w:val="30"/>
        </w:rPr>
        <w:t>9.3</w:t>
      </w:r>
      <w:r>
        <w:rPr>
          <w:rFonts w:ascii="仿宋" w:hAnsi="仿宋" w:eastAsia="仿宋"/>
          <w:kern w:val="0"/>
          <w:szCs w:val="30"/>
        </w:rPr>
        <w:t>违规处理结果</w:t>
      </w:r>
      <w:r>
        <w:tab/>
      </w:r>
      <w:r>
        <w:fldChar w:fldCharType="begin"/>
      </w:r>
      <w:r>
        <w:instrText xml:space="preserve"> PAGEREF _Toc24303 \h </w:instrText>
      </w:r>
      <w:r>
        <w:fldChar w:fldCharType="separate"/>
      </w:r>
      <w:r>
        <w:t>16</w:t>
      </w:r>
      <w:r>
        <w:fldChar w:fldCharType="end"/>
      </w:r>
      <w:r>
        <w:fldChar w:fldCharType="end"/>
      </w:r>
    </w:p>
    <w:p w14:paraId="030778B0">
      <w:pPr>
        <w:pStyle w:val="11"/>
        <w:tabs>
          <w:tab w:val="right" w:leader="dot" w:pos="8730"/>
          <w:tab w:val="clear" w:pos="8296"/>
        </w:tabs>
      </w:pPr>
      <w:r>
        <w:fldChar w:fldCharType="begin"/>
      </w:r>
      <w:r>
        <w:instrText xml:space="preserve"> HYPERLINK \l "_Toc24098" </w:instrText>
      </w:r>
      <w:r>
        <w:fldChar w:fldCharType="separate"/>
      </w:r>
      <w:r>
        <w:rPr>
          <w:rFonts w:hint="eastAsia" w:ascii="仿宋" w:hAnsi="仿宋" w:eastAsia="仿宋"/>
          <w:kern w:val="0"/>
          <w:szCs w:val="30"/>
        </w:rPr>
        <w:t>9.4</w:t>
      </w:r>
      <w:r>
        <w:rPr>
          <w:rFonts w:ascii="仿宋" w:hAnsi="仿宋" w:eastAsia="仿宋"/>
          <w:kern w:val="0"/>
          <w:szCs w:val="30"/>
        </w:rPr>
        <w:t>违规处理登记</w:t>
      </w:r>
      <w:r>
        <w:tab/>
      </w:r>
      <w:r>
        <w:fldChar w:fldCharType="begin"/>
      </w:r>
      <w:r>
        <w:instrText xml:space="preserve"> PAGEREF _Toc24098 \h </w:instrText>
      </w:r>
      <w:r>
        <w:fldChar w:fldCharType="separate"/>
      </w:r>
      <w:r>
        <w:t>16</w:t>
      </w:r>
      <w:r>
        <w:fldChar w:fldCharType="end"/>
      </w:r>
      <w:r>
        <w:fldChar w:fldCharType="end"/>
      </w:r>
    </w:p>
    <w:p w14:paraId="175BF432">
      <w:pPr>
        <w:pStyle w:val="11"/>
        <w:tabs>
          <w:tab w:val="right" w:leader="dot" w:pos="8730"/>
          <w:tab w:val="clear" w:pos="8296"/>
        </w:tabs>
      </w:pPr>
      <w:r>
        <w:fldChar w:fldCharType="begin"/>
      </w:r>
      <w:r>
        <w:instrText xml:space="preserve"> HYPERLINK \l "_Toc7945" </w:instrText>
      </w:r>
      <w:r>
        <w:fldChar w:fldCharType="separate"/>
      </w:r>
      <w:r>
        <w:rPr>
          <w:rFonts w:hint="eastAsia" w:ascii="仿宋" w:hAnsi="仿宋" w:eastAsia="仿宋"/>
          <w:szCs w:val="32"/>
        </w:rPr>
        <w:t>10</w:t>
      </w:r>
      <w:r>
        <w:rPr>
          <w:rFonts w:ascii="仿宋" w:hAnsi="仿宋" w:eastAsia="仿宋"/>
          <w:szCs w:val="32"/>
        </w:rPr>
        <w:t>问题或争议处理</w:t>
      </w:r>
      <w:r>
        <w:tab/>
      </w:r>
      <w:r>
        <w:fldChar w:fldCharType="begin"/>
      </w:r>
      <w:r>
        <w:instrText xml:space="preserve"> PAGEREF _Toc7945 \h </w:instrText>
      </w:r>
      <w:r>
        <w:fldChar w:fldCharType="separate"/>
      </w:r>
      <w:r>
        <w:t>17</w:t>
      </w:r>
      <w:r>
        <w:fldChar w:fldCharType="end"/>
      </w:r>
      <w:r>
        <w:fldChar w:fldCharType="end"/>
      </w:r>
    </w:p>
    <w:p w14:paraId="636BC3FA">
      <w:pPr>
        <w:pStyle w:val="11"/>
        <w:tabs>
          <w:tab w:val="right" w:leader="dot" w:pos="8730"/>
          <w:tab w:val="clear" w:pos="8296"/>
        </w:tabs>
      </w:pPr>
      <w:r>
        <w:fldChar w:fldCharType="begin"/>
      </w:r>
      <w:r>
        <w:instrText xml:space="preserve"> HYPERLINK \l "_Toc7745" </w:instrText>
      </w:r>
      <w:r>
        <w:fldChar w:fldCharType="separate"/>
      </w:r>
      <w:r>
        <w:rPr>
          <w:rFonts w:hint="eastAsia" w:ascii="仿宋" w:hAnsi="仿宋" w:eastAsia="仿宋"/>
          <w:kern w:val="0"/>
          <w:szCs w:val="30"/>
        </w:rPr>
        <w:t>10.1</w:t>
      </w:r>
      <w:r>
        <w:rPr>
          <w:rFonts w:ascii="仿宋" w:hAnsi="仿宋" w:eastAsia="仿宋"/>
          <w:kern w:val="0"/>
          <w:szCs w:val="30"/>
        </w:rPr>
        <w:t>竞赛项目内解决</w:t>
      </w:r>
      <w:r>
        <w:tab/>
      </w:r>
      <w:r>
        <w:fldChar w:fldCharType="begin"/>
      </w:r>
      <w:r>
        <w:instrText xml:space="preserve"> PAGEREF _Toc7745 \h </w:instrText>
      </w:r>
      <w:r>
        <w:fldChar w:fldCharType="separate"/>
      </w:r>
      <w:r>
        <w:t>17</w:t>
      </w:r>
      <w:r>
        <w:fldChar w:fldCharType="end"/>
      </w:r>
      <w:r>
        <w:fldChar w:fldCharType="end"/>
      </w:r>
    </w:p>
    <w:p w14:paraId="05B29D88">
      <w:pPr>
        <w:pStyle w:val="11"/>
        <w:tabs>
          <w:tab w:val="right" w:leader="dot" w:pos="8730"/>
          <w:tab w:val="clear" w:pos="8296"/>
        </w:tabs>
      </w:pPr>
      <w:r>
        <w:fldChar w:fldCharType="begin"/>
      </w:r>
      <w:r>
        <w:instrText xml:space="preserve"> HYPERLINK \l "_Toc8831" </w:instrText>
      </w:r>
      <w:r>
        <w:fldChar w:fldCharType="separate"/>
      </w:r>
      <w:r>
        <w:rPr>
          <w:rFonts w:hint="eastAsia" w:ascii="仿宋" w:hAnsi="仿宋" w:eastAsia="仿宋"/>
          <w:kern w:val="0"/>
          <w:szCs w:val="30"/>
        </w:rPr>
        <w:t>10.2</w:t>
      </w:r>
      <w:r>
        <w:rPr>
          <w:rFonts w:ascii="仿宋" w:hAnsi="仿宋" w:eastAsia="仿宋"/>
          <w:kern w:val="0"/>
          <w:szCs w:val="30"/>
        </w:rPr>
        <w:t>监督仲裁组解决</w:t>
      </w:r>
      <w:r>
        <w:tab/>
      </w:r>
      <w:r>
        <w:fldChar w:fldCharType="begin"/>
      </w:r>
      <w:r>
        <w:instrText xml:space="preserve"> PAGEREF _Toc8831 \h </w:instrText>
      </w:r>
      <w:r>
        <w:fldChar w:fldCharType="separate"/>
      </w:r>
      <w:r>
        <w:t>17</w:t>
      </w:r>
      <w:r>
        <w:fldChar w:fldCharType="end"/>
      </w:r>
      <w:r>
        <w:fldChar w:fldCharType="end"/>
      </w:r>
    </w:p>
    <w:p w14:paraId="522377FD">
      <w:pPr>
        <w:pStyle w:val="11"/>
        <w:tabs>
          <w:tab w:val="right" w:leader="dot" w:pos="8730"/>
          <w:tab w:val="clear" w:pos="8296"/>
        </w:tabs>
      </w:pPr>
      <w:r>
        <w:fldChar w:fldCharType="begin"/>
      </w:r>
      <w:r>
        <w:instrText xml:space="preserve"> HYPERLINK \l "_Toc30981" </w:instrText>
      </w:r>
      <w:r>
        <w:fldChar w:fldCharType="separate"/>
      </w:r>
      <w:r>
        <w:rPr>
          <w:rFonts w:hint="eastAsia" w:ascii="仿宋" w:hAnsi="仿宋" w:eastAsia="仿宋"/>
          <w:szCs w:val="32"/>
        </w:rPr>
        <w:t>11</w:t>
      </w:r>
      <w:r>
        <w:rPr>
          <w:rFonts w:ascii="仿宋" w:hAnsi="仿宋" w:eastAsia="仿宋"/>
          <w:szCs w:val="32"/>
        </w:rPr>
        <w:t>附则</w:t>
      </w:r>
      <w:r>
        <w:tab/>
      </w:r>
      <w:r>
        <w:fldChar w:fldCharType="begin"/>
      </w:r>
      <w:r>
        <w:instrText xml:space="preserve"> PAGEREF _Toc30981 \h </w:instrText>
      </w:r>
      <w:r>
        <w:fldChar w:fldCharType="separate"/>
      </w:r>
      <w:r>
        <w:t>17</w:t>
      </w:r>
      <w:r>
        <w:fldChar w:fldCharType="end"/>
      </w:r>
      <w:r>
        <w:fldChar w:fldCharType="end"/>
      </w:r>
    </w:p>
    <w:p w14:paraId="1D37CEDB">
      <w:pPr>
        <w:pStyle w:val="11"/>
        <w:tabs>
          <w:tab w:val="right" w:leader="dot" w:pos="8730"/>
          <w:tab w:val="clear" w:pos="8296"/>
        </w:tabs>
      </w:pPr>
      <w:r>
        <w:fldChar w:fldCharType="begin"/>
      </w:r>
      <w:r>
        <w:instrText xml:space="preserve"> HYPERLINK \l "_Toc20708" </w:instrText>
      </w:r>
      <w:r>
        <w:fldChar w:fldCharType="separate"/>
      </w:r>
      <w:r>
        <w:rPr>
          <w:rFonts w:hint="eastAsia" w:ascii="仿宋" w:hAnsi="仿宋" w:eastAsia="仿宋"/>
          <w:szCs w:val="30"/>
        </w:rPr>
        <w:t>附件:《</w:t>
      </w:r>
      <w:r>
        <w:rPr>
          <w:rFonts w:hint="eastAsia" w:ascii="仿宋" w:hAnsi="仿宋" w:eastAsia="仿宋"/>
          <w:szCs w:val="30"/>
          <w:lang w:eastAsia="zh-CN"/>
        </w:rPr>
        <w:t>服装水洗工</w:t>
      </w:r>
      <w:r>
        <w:rPr>
          <w:rFonts w:hint="eastAsia" w:ascii="仿宋" w:hAnsi="仿宋" w:eastAsia="仿宋"/>
          <w:szCs w:val="30"/>
        </w:rPr>
        <w:t>》（三级/高级）项目竞赛试题（样例）</w:t>
      </w:r>
      <w:r>
        <w:tab/>
      </w:r>
      <w:r>
        <w:fldChar w:fldCharType="begin"/>
      </w:r>
      <w:r>
        <w:instrText xml:space="preserve"> PAGEREF _Toc20708 \h </w:instrText>
      </w:r>
      <w:r>
        <w:fldChar w:fldCharType="separate"/>
      </w:r>
      <w:r>
        <w:t>18</w:t>
      </w:r>
      <w:r>
        <w:fldChar w:fldCharType="end"/>
      </w:r>
      <w:r>
        <w:fldChar w:fldCharType="end"/>
      </w:r>
    </w:p>
    <w:p w14:paraId="4F233976">
      <w:pPr>
        <w:tabs>
          <w:tab w:val="right" w:leader="dot" w:pos="8295"/>
        </w:tabs>
        <w:rPr>
          <w:rFonts w:hint="eastAsia" w:ascii="仿宋" w:hAnsi="仿宋" w:eastAsia="仿宋"/>
        </w:rPr>
      </w:pPr>
      <w:r>
        <w:rPr>
          <w:rFonts w:ascii="仿宋" w:hAnsi="仿宋" w:eastAsia="仿宋"/>
          <w:bCs/>
          <w:lang w:val="zh-CN"/>
        </w:rPr>
        <w:fldChar w:fldCharType="end"/>
      </w:r>
    </w:p>
    <w:p w14:paraId="0A742726">
      <w:pPr>
        <w:widowControl/>
        <w:adjustRightInd w:val="0"/>
        <w:snapToGrid w:val="0"/>
        <w:spacing w:line="276" w:lineRule="auto"/>
        <w:rPr>
          <w:rFonts w:hint="eastAsia" w:ascii="仿宋" w:hAnsi="仿宋" w:eastAsia="仿宋"/>
          <w:sz w:val="28"/>
          <w:szCs w:val="28"/>
        </w:rPr>
        <w:sectPr>
          <w:footerReference r:id="rId5" w:type="default"/>
          <w:pgSz w:w="11906" w:h="16838"/>
          <w:pgMar w:top="1247" w:right="1588" w:bottom="1247" w:left="1588" w:header="851" w:footer="992" w:gutter="0"/>
          <w:pgNumType w:start="1"/>
          <w:cols w:space="720" w:num="1"/>
          <w:docGrid w:linePitch="312" w:charSpace="0"/>
        </w:sectPr>
      </w:pPr>
    </w:p>
    <w:p w14:paraId="0C5156B0">
      <w:pPr>
        <w:adjustRightInd w:val="0"/>
        <w:snapToGrid w:val="0"/>
        <w:spacing w:line="360" w:lineRule="auto"/>
        <w:ind w:right="238"/>
        <w:jc w:val="center"/>
        <w:rPr>
          <w:rFonts w:hint="eastAsia" w:ascii="仿宋" w:hAnsi="仿宋" w:eastAsia="仿宋"/>
          <w:sz w:val="36"/>
          <w:szCs w:val="36"/>
        </w:rPr>
      </w:pPr>
      <w:bookmarkStart w:id="0" w:name="_Toc326344952"/>
      <w:bookmarkStart w:id="1" w:name="_Toc481312692"/>
      <w:bookmarkStart w:id="2" w:name="_Toc481313995"/>
      <w:bookmarkStart w:id="3" w:name="_Toc530340395"/>
      <w:r>
        <w:rPr>
          <w:rFonts w:hint="eastAsia" w:ascii="仿宋" w:hAnsi="仿宋" w:eastAsia="仿宋" w:cs="宋体"/>
          <w:b/>
          <w:kern w:val="0"/>
          <w:sz w:val="36"/>
          <w:szCs w:val="36"/>
          <w:lang w:val="en-US" w:eastAsia="zh-CN"/>
        </w:rPr>
        <w:t>中山</w:t>
      </w:r>
      <w:r>
        <w:rPr>
          <w:rFonts w:hint="eastAsia" w:ascii="仿宋" w:hAnsi="仿宋" w:eastAsia="仿宋" w:cs="宋体"/>
          <w:b/>
          <w:kern w:val="0"/>
          <w:sz w:val="36"/>
          <w:szCs w:val="36"/>
        </w:rPr>
        <w:t>市第</w:t>
      </w:r>
      <w:r>
        <w:rPr>
          <w:rFonts w:hint="eastAsia" w:ascii="仿宋" w:hAnsi="仿宋" w:eastAsia="仿宋" w:cs="宋体"/>
          <w:b/>
          <w:kern w:val="0"/>
          <w:sz w:val="36"/>
          <w:szCs w:val="36"/>
          <w:lang w:val="en-US" w:eastAsia="zh-CN"/>
        </w:rPr>
        <w:t>六</w:t>
      </w:r>
      <w:r>
        <w:rPr>
          <w:rFonts w:hint="eastAsia" w:ascii="仿宋" w:hAnsi="仿宋" w:eastAsia="仿宋" w:cs="宋体"/>
          <w:b/>
          <w:kern w:val="0"/>
          <w:sz w:val="36"/>
          <w:szCs w:val="36"/>
        </w:rPr>
        <w:t>届职业技能大赛《</w:t>
      </w:r>
      <w:r>
        <w:rPr>
          <w:rFonts w:hint="eastAsia" w:ascii="仿宋" w:hAnsi="仿宋" w:eastAsia="仿宋" w:cs="宋体"/>
          <w:b/>
          <w:kern w:val="0"/>
          <w:sz w:val="36"/>
          <w:szCs w:val="36"/>
          <w:lang w:eastAsia="zh-CN"/>
        </w:rPr>
        <w:t>服装水洗工</w:t>
      </w:r>
      <w:r>
        <w:rPr>
          <w:rFonts w:hint="eastAsia" w:ascii="仿宋" w:hAnsi="仿宋" w:eastAsia="仿宋" w:cs="宋体"/>
          <w:b/>
          <w:kern w:val="0"/>
          <w:sz w:val="36"/>
          <w:szCs w:val="36"/>
        </w:rPr>
        <w:t>》（三级/高级）项目技术工作文件</w:t>
      </w:r>
    </w:p>
    <w:p w14:paraId="0E9FB206">
      <w:pPr>
        <w:pStyle w:val="2"/>
        <w:adjustRightInd w:val="0"/>
        <w:snapToGrid w:val="0"/>
        <w:spacing w:beforeLines="0" w:afterLines="0" w:line="360" w:lineRule="auto"/>
        <w:rPr>
          <w:rFonts w:hint="eastAsia" w:ascii="仿宋" w:hAnsi="仿宋" w:eastAsia="仿宋"/>
          <w:sz w:val="32"/>
          <w:szCs w:val="32"/>
        </w:rPr>
      </w:pPr>
      <w:bookmarkStart w:id="4" w:name="_Toc31070"/>
      <w:r>
        <w:rPr>
          <w:rFonts w:ascii="仿宋" w:hAnsi="仿宋" w:eastAsia="仿宋"/>
          <w:sz w:val="32"/>
          <w:szCs w:val="32"/>
        </w:rPr>
        <w:t>1.</w:t>
      </w:r>
      <w:bookmarkEnd w:id="0"/>
      <w:bookmarkEnd w:id="1"/>
      <w:r>
        <w:rPr>
          <w:rFonts w:hint="eastAsia" w:ascii="仿宋" w:hAnsi="仿宋" w:eastAsia="仿宋"/>
          <w:sz w:val="32"/>
          <w:szCs w:val="32"/>
        </w:rPr>
        <w:t>技术</w:t>
      </w:r>
      <w:bookmarkEnd w:id="2"/>
      <w:bookmarkEnd w:id="3"/>
      <w:r>
        <w:rPr>
          <w:rFonts w:hint="eastAsia" w:ascii="仿宋" w:hAnsi="仿宋" w:eastAsia="仿宋"/>
          <w:sz w:val="32"/>
          <w:szCs w:val="32"/>
        </w:rPr>
        <w:t>描述</w:t>
      </w:r>
      <w:bookmarkEnd w:id="4"/>
    </w:p>
    <w:p w14:paraId="2C6C29EB">
      <w:pPr>
        <w:adjustRightInd w:val="0"/>
        <w:snapToGrid w:val="0"/>
        <w:spacing w:line="360" w:lineRule="auto"/>
        <w:ind w:firstLine="482"/>
        <w:rPr>
          <w:rFonts w:hint="eastAsia" w:ascii="仿宋" w:hAnsi="仿宋" w:eastAsia="仿宋"/>
          <w:kern w:val="0"/>
          <w:sz w:val="28"/>
          <w:szCs w:val="28"/>
        </w:rPr>
      </w:pPr>
      <w:bookmarkStart w:id="5" w:name="_Toc326344953"/>
      <w:bookmarkStart w:id="6" w:name="_Toc481313996"/>
      <w:bookmarkStart w:id="7" w:name="_Toc481312693"/>
      <w:r>
        <w:rPr>
          <w:rFonts w:hint="eastAsia" w:ascii="仿宋" w:hAnsi="仿宋" w:eastAsia="仿宋" w:cs="宋体"/>
          <w:kern w:val="0"/>
          <w:sz w:val="28"/>
          <w:szCs w:val="28"/>
        </w:rPr>
        <w:t>本技术描述为赛项整体框架说明，正式考核内容、工艺参数、评分细则以竞赛当日现场公布试题为准。竞赛对标《</w:t>
      </w:r>
      <w:r>
        <w:rPr>
          <w:rFonts w:hint="eastAsia" w:ascii="仿宋" w:hAnsi="仿宋" w:eastAsia="仿宋" w:cs="宋体"/>
          <w:kern w:val="0"/>
          <w:sz w:val="28"/>
          <w:szCs w:val="28"/>
          <w:lang w:eastAsia="zh-CN"/>
        </w:rPr>
        <w:t>服装水洗工</w:t>
      </w:r>
      <w:r>
        <w:rPr>
          <w:rFonts w:hint="eastAsia" w:ascii="仿宋" w:hAnsi="仿宋" w:eastAsia="仿宋" w:cs="宋体"/>
          <w:kern w:val="0"/>
          <w:sz w:val="28"/>
          <w:szCs w:val="28"/>
        </w:rPr>
        <w:t>（2024版）国家职业技能标准》三级（高级工）能力要求，结合T/GDTEX06-2019《牛仔服装洗水操作规范》、T/GDTEX22.1-2021《酵素洗工艺指南》、T/GDTEX22.2-2021《石磨洗工艺指南》行业团体标准编制。</w:t>
      </w:r>
    </w:p>
    <w:p w14:paraId="375C650B">
      <w:pPr>
        <w:pStyle w:val="3"/>
        <w:adjustRightInd w:val="0"/>
        <w:snapToGrid w:val="0"/>
        <w:spacing w:line="360" w:lineRule="auto"/>
        <w:rPr>
          <w:rFonts w:hint="eastAsia" w:ascii="仿宋" w:hAnsi="仿宋" w:eastAsia="仿宋"/>
          <w:sz w:val="30"/>
          <w:szCs w:val="30"/>
          <w:lang w:eastAsia="zh-CN"/>
        </w:rPr>
      </w:pPr>
      <w:bookmarkStart w:id="8" w:name="_Toc23299"/>
      <w:bookmarkStart w:id="9" w:name="_Toc530340396"/>
      <w:r>
        <w:rPr>
          <w:rFonts w:ascii="仿宋" w:hAnsi="仿宋" w:eastAsia="仿宋"/>
          <w:sz w:val="30"/>
          <w:szCs w:val="30"/>
        </w:rPr>
        <w:t>1.1</w:t>
      </w:r>
      <w:bookmarkEnd w:id="5"/>
      <w:r>
        <w:rPr>
          <w:rFonts w:hint="eastAsia" w:ascii="仿宋" w:hAnsi="仿宋" w:eastAsia="仿宋" w:cs="宋体"/>
          <w:sz w:val="30"/>
          <w:szCs w:val="30"/>
        </w:rPr>
        <w:t>项目描述</w:t>
      </w:r>
      <w:bookmarkEnd w:id="6"/>
      <w:bookmarkEnd w:id="7"/>
      <w:bookmarkEnd w:id="8"/>
      <w:bookmarkEnd w:id="9"/>
    </w:p>
    <w:p w14:paraId="7A14B618">
      <w:pPr>
        <w:adjustRightInd w:val="0"/>
        <w:snapToGrid w:val="0"/>
        <w:spacing w:line="360" w:lineRule="auto"/>
        <w:ind w:firstLine="482"/>
        <w:rPr>
          <w:rFonts w:hint="eastAsia" w:ascii="仿宋" w:hAnsi="仿宋" w:eastAsia="仿宋" w:cs="宋体"/>
          <w:kern w:val="0"/>
          <w:sz w:val="28"/>
          <w:szCs w:val="28"/>
        </w:rPr>
      </w:pPr>
      <w:r>
        <w:rPr>
          <w:rFonts w:hint="eastAsia" w:ascii="仿宋" w:hAnsi="仿宋" w:eastAsia="仿宋" w:cs="宋体"/>
          <w:kern w:val="0"/>
          <w:sz w:val="28"/>
          <w:szCs w:val="28"/>
          <w:lang w:eastAsia="zh-CN"/>
        </w:rPr>
        <w:t>服装水洗工</w:t>
      </w:r>
      <w:r>
        <w:rPr>
          <w:rFonts w:hint="eastAsia" w:ascii="仿宋" w:hAnsi="仿宋" w:eastAsia="仿宋" w:cs="宋体"/>
          <w:kern w:val="0"/>
          <w:sz w:val="28"/>
          <w:szCs w:val="28"/>
        </w:rPr>
        <w:t>是纺织服装产业链后端核心技术工种，依托水洗设备、生物酶制剂、浮石、化工助剂，通过物理摩擦、化学催化、生物降解协同作用，完成牛仔及各类成衣分检、退浆、酵素洗、石磨洗、酵磨复合洗、漂洗、脱水烘干、色差质检全流程标准化作业；同时包含面料纤维识别、化料配比、工艺参数调控、质量对样、设备点检维护、安全生产、清洁生产管控等综合技术工作。</w:t>
      </w:r>
    </w:p>
    <w:p w14:paraId="14B41478">
      <w:pPr>
        <w:adjustRightInd w:val="0"/>
        <w:snapToGrid w:val="0"/>
        <w:spacing w:line="360" w:lineRule="auto"/>
        <w:ind w:firstLine="482"/>
        <w:rPr>
          <w:rFonts w:hint="eastAsia" w:ascii="仿宋" w:hAnsi="仿宋" w:eastAsia="仿宋" w:cs="宋体"/>
          <w:kern w:val="0"/>
          <w:sz w:val="28"/>
          <w:szCs w:val="28"/>
        </w:rPr>
      </w:pPr>
      <w:r>
        <w:rPr>
          <w:rFonts w:hint="eastAsia" w:ascii="仿宋" w:hAnsi="仿宋" w:eastAsia="仿宋" w:cs="宋体"/>
          <w:kern w:val="0"/>
          <w:sz w:val="28"/>
          <w:szCs w:val="28"/>
        </w:rPr>
        <w:t>本赛项以牛仔服装洗水为核心载体，考核选手标准化实操、工艺设计、质量管控、安全环保综合能力，贴合中山牛仔服装产业实际生产岗位需求。单人独立竞赛项目。</w:t>
      </w:r>
    </w:p>
    <w:p w14:paraId="4942A35F">
      <w:pPr>
        <w:pStyle w:val="3"/>
        <w:adjustRightInd w:val="0"/>
        <w:snapToGrid w:val="0"/>
        <w:spacing w:line="360" w:lineRule="auto"/>
        <w:rPr>
          <w:rFonts w:hint="eastAsia" w:ascii="仿宋" w:hAnsi="仿宋" w:eastAsia="仿宋"/>
          <w:lang w:eastAsia="zh-CN"/>
        </w:rPr>
      </w:pPr>
      <w:bookmarkStart w:id="10" w:name="_Toc481313997"/>
      <w:bookmarkStart w:id="11" w:name="_Toc530340397"/>
      <w:bookmarkStart w:id="12" w:name="_Toc24390"/>
      <w:r>
        <w:rPr>
          <w:rFonts w:ascii="仿宋" w:hAnsi="仿宋" w:eastAsia="仿宋"/>
        </w:rPr>
        <w:t>1.2</w:t>
      </w:r>
      <w:bookmarkEnd w:id="10"/>
      <w:bookmarkEnd w:id="11"/>
      <w:bookmarkStart w:id="13" w:name="_Toc481313999"/>
      <w:bookmarkStart w:id="14" w:name="_Toc530340399"/>
      <w:r>
        <w:rPr>
          <w:rFonts w:hint="eastAsia" w:ascii="仿宋" w:hAnsi="仿宋" w:eastAsia="仿宋"/>
        </w:rPr>
        <w:t>基本知识与能力</w:t>
      </w:r>
      <w:bookmarkEnd w:id="13"/>
      <w:bookmarkEnd w:id="14"/>
      <w:r>
        <w:rPr>
          <w:rFonts w:hint="eastAsia" w:ascii="仿宋" w:hAnsi="仿宋" w:eastAsia="仿宋"/>
        </w:rPr>
        <w:t>要求</w:t>
      </w:r>
      <w:bookmarkEnd w:id="12"/>
    </w:p>
    <w:p w14:paraId="3D5B0BDE">
      <w:pPr>
        <w:adjustRightInd w:val="0"/>
        <w:snapToGrid w:val="0"/>
        <w:spacing w:line="360" w:lineRule="auto"/>
        <w:ind w:firstLine="482"/>
        <w:rPr>
          <w:rFonts w:hint="eastAsia" w:ascii="仿宋" w:hAnsi="仿宋" w:eastAsia="仿宋" w:cs="宋体"/>
          <w:kern w:val="0"/>
          <w:sz w:val="28"/>
          <w:szCs w:val="28"/>
        </w:rPr>
      </w:pPr>
      <w:r>
        <w:rPr>
          <w:rFonts w:hint="eastAsia" w:ascii="仿宋" w:hAnsi="仿宋" w:eastAsia="仿宋" w:cs="宋体"/>
          <w:kern w:val="0"/>
          <w:sz w:val="28"/>
          <w:szCs w:val="28"/>
        </w:rPr>
        <w:t>本赛项对标《服装水洗工国家职业标准（2024年版）》三级（高级工）技能要求组织命题与评分，重点考核选手在以下职业功能上的综合能力：水洗操作、质量控制。竞赛内容、工艺参数与评分细则以竞赛当日现场公布试题为准。</w:t>
      </w:r>
    </w:p>
    <w:p w14:paraId="121353D4">
      <w:pPr>
        <w:adjustRightInd w:val="0"/>
        <w:snapToGrid w:val="0"/>
        <w:spacing w:line="360" w:lineRule="auto"/>
        <w:ind w:firstLine="482"/>
        <w:rPr>
          <w:rFonts w:hint="eastAsia" w:ascii="仿宋" w:hAnsi="仿宋" w:eastAsia="仿宋" w:cs="宋体"/>
          <w:kern w:val="0"/>
          <w:sz w:val="28"/>
          <w:szCs w:val="28"/>
        </w:rPr>
      </w:pPr>
    </w:p>
    <w:p w14:paraId="2E110BB2">
      <w:pPr>
        <w:adjustRightInd w:val="0"/>
        <w:snapToGrid w:val="0"/>
        <w:spacing w:line="360" w:lineRule="auto"/>
        <w:ind w:firstLine="482"/>
        <w:rPr>
          <w:rFonts w:hint="eastAsia" w:ascii="仿宋" w:hAnsi="仿宋" w:eastAsia="仿宋" w:cs="宋体"/>
          <w:kern w:val="0"/>
          <w:sz w:val="28"/>
          <w:szCs w:val="28"/>
        </w:rPr>
      </w:pPr>
    </w:p>
    <w:tbl>
      <w:tblPr>
        <w:tblStyle w:val="16"/>
        <w:tblW w:w="8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5312"/>
        <w:gridCol w:w="1738"/>
      </w:tblGrid>
      <w:tr w14:paraId="48585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jc w:val="center"/>
        </w:trPr>
        <w:tc>
          <w:tcPr>
            <w:tcW w:w="6900" w:type="dxa"/>
            <w:gridSpan w:val="2"/>
            <w:tcBorders>
              <w:top w:val="single" w:color="auto" w:sz="4" w:space="0"/>
              <w:left w:val="single" w:color="auto" w:sz="4" w:space="0"/>
              <w:bottom w:val="single" w:color="auto" w:sz="4" w:space="0"/>
              <w:right w:val="single" w:color="auto" w:sz="4" w:space="0"/>
            </w:tcBorders>
            <w:noWrap w:val="0"/>
            <w:vAlign w:val="top"/>
          </w:tcPr>
          <w:p w14:paraId="5349194E">
            <w:pPr>
              <w:pStyle w:val="74"/>
              <w:snapToGrid w:val="0"/>
              <w:spacing w:before="120" w:beforeLines="50" w:after="120" w:afterLines="50"/>
              <w:jc w:val="center"/>
              <w:rPr>
                <w:rFonts w:ascii="仿宋" w:hAnsi="仿宋" w:eastAsia="仿宋"/>
                <w:b/>
                <w:caps/>
                <w:color w:val="auto"/>
                <w:sz w:val="24"/>
                <w:lang w:eastAsia="zh-CN"/>
              </w:rPr>
            </w:pPr>
            <w:r>
              <w:rPr>
                <w:rFonts w:ascii="仿宋" w:hAnsi="仿宋" w:eastAsia="仿宋"/>
                <w:b/>
                <w:caps/>
                <w:color w:val="auto"/>
                <w:sz w:val="24"/>
                <w:lang w:eastAsia="zh-CN"/>
              </w:rPr>
              <w:t>相关要求</w:t>
            </w:r>
          </w:p>
        </w:tc>
        <w:tc>
          <w:tcPr>
            <w:tcW w:w="1738" w:type="dxa"/>
            <w:tcBorders>
              <w:top w:val="single" w:color="auto" w:sz="4" w:space="0"/>
              <w:left w:val="single" w:color="auto" w:sz="4" w:space="0"/>
              <w:bottom w:val="single" w:color="auto" w:sz="4" w:space="0"/>
              <w:right w:val="single" w:color="auto" w:sz="4" w:space="0"/>
            </w:tcBorders>
            <w:noWrap w:val="0"/>
            <w:vAlign w:val="top"/>
          </w:tcPr>
          <w:p w14:paraId="6FBE2A3C">
            <w:pPr>
              <w:pStyle w:val="74"/>
              <w:snapToGrid w:val="0"/>
              <w:spacing w:before="120" w:beforeLines="50" w:after="120" w:afterLines="50"/>
              <w:rPr>
                <w:rFonts w:ascii="仿宋" w:hAnsi="仿宋" w:eastAsia="仿宋"/>
                <w:b/>
                <w:caps/>
                <w:color w:val="auto"/>
                <w:sz w:val="24"/>
              </w:rPr>
            </w:pPr>
            <w:r>
              <w:rPr>
                <w:rFonts w:ascii="仿宋" w:hAnsi="仿宋" w:eastAsia="仿宋"/>
                <w:b/>
                <w:caps/>
                <w:color w:val="auto"/>
                <w:sz w:val="24"/>
                <w:lang w:eastAsia="zh-CN"/>
              </w:rPr>
              <w:t>权重比例</w:t>
            </w:r>
            <w:r>
              <w:rPr>
                <w:rFonts w:ascii="仿宋" w:hAnsi="仿宋" w:eastAsia="仿宋"/>
                <w:b/>
                <w:caps/>
                <w:color w:val="auto"/>
                <w:sz w:val="24"/>
              </w:rPr>
              <w:t xml:space="preserve"> (%)</w:t>
            </w:r>
          </w:p>
        </w:tc>
      </w:tr>
      <w:tr w14:paraId="07D2A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1588" w:type="dxa"/>
            <w:tcBorders>
              <w:top w:val="single" w:color="auto" w:sz="4" w:space="0"/>
              <w:left w:val="single" w:color="auto" w:sz="4" w:space="0"/>
              <w:bottom w:val="single" w:color="auto" w:sz="4" w:space="0"/>
              <w:right w:val="single" w:color="auto" w:sz="4" w:space="0"/>
            </w:tcBorders>
            <w:noWrap w:val="0"/>
            <w:vAlign w:val="center"/>
          </w:tcPr>
          <w:p w14:paraId="330B4FE8">
            <w:pPr>
              <w:pStyle w:val="74"/>
              <w:snapToGrid w:val="0"/>
              <w:spacing w:before="120" w:beforeLines="50" w:after="120" w:afterLines="50"/>
              <w:jc w:val="center"/>
              <w:rPr>
                <w:rFonts w:ascii="仿宋" w:hAnsi="仿宋" w:eastAsia="仿宋" w:cs="Times New Roman"/>
                <w:b/>
                <w:color w:val="auto"/>
                <w:sz w:val="24"/>
              </w:rPr>
            </w:pPr>
            <w:r>
              <w:rPr>
                <w:rFonts w:ascii="仿宋" w:hAnsi="仿宋" w:eastAsia="仿宋" w:cs="Times New Roman"/>
                <w:b/>
                <w:color w:val="auto"/>
                <w:sz w:val="24"/>
              </w:rPr>
              <w:t>1</w:t>
            </w:r>
          </w:p>
        </w:tc>
        <w:tc>
          <w:tcPr>
            <w:tcW w:w="5312" w:type="dxa"/>
            <w:tcBorders>
              <w:top w:val="single" w:color="auto" w:sz="4" w:space="0"/>
              <w:left w:val="single" w:color="auto" w:sz="4" w:space="0"/>
              <w:bottom w:val="single" w:color="auto" w:sz="4" w:space="0"/>
              <w:right w:val="single" w:color="auto" w:sz="4" w:space="0"/>
            </w:tcBorders>
            <w:noWrap w:val="0"/>
            <w:vAlign w:val="top"/>
          </w:tcPr>
          <w:p w14:paraId="691177A5">
            <w:pPr>
              <w:pStyle w:val="74"/>
              <w:snapToGrid w:val="0"/>
              <w:spacing w:before="120" w:beforeLines="50" w:after="120" w:afterLines="50"/>
              <w:jc w:val="center"/>
              <w:rPr>
                <w:rFonts w:ascii="仿宋" w:hAnsi="仿宋" w:eastAsia="仿宋" w:cs="Times New Roman"/>
                <w:b/>
                <w:color w:val="auto"/>
                <w:sz w:val="24"/>
              </w:rPr>
            </w:pPr>
            <w:r>
              <w:rPr>
                <w:rFonts w:hint="eastAsia" w:ascii="仿宋" w:hAnsi="仿宋" w:eastAsia="仿宋" w:cs="Times New Roman"/>
                <w:b/>
                <w:color w:val="auto"/>
                <w:sz w:val="24"/>
              </w:rPr>
              <w:t>水洗操作</w:t>
            </w:r>
          </w:p>
        </w:tc>
        <w:tc>
          <w:tcPr>
            <w:tcW w:w="1738" w:type="dxa"/>
            <w:vMerge w:val="restart"/>
            <w:tcBorders>
              <w:top w:val="single" w:color="auto" w:sz="4" w:space="0"/>
              <w:left w:val="single" w:color="auto" w:sz="4" w:space="0"/>
              <w:bottom w:val="single" w:color="auto" w:sz="4" w:space="0"/>
              <w:right w:val="single" w:color="auto" w:sz="4" w:space="0"/>
            </w:tcBorders>
            <w:noWrap w:val="0"/>
            <w:vAlign w:val="center"/>
          </w:tcPr>
          <w:p w14:paraId="13EABB1A">
            <w:pPr>
              <w:pStyle w:val="74"/>
              <w:snapToGrid w:val="0"/>
              <w:spacing w:before="120" w:beforeLines="50" w:after="120" w:afterLines="50"/>
              <w:jc w:val="center"/>
              <w:rPr>
                <w:rFonts w:hint="default" w:ascii="仿宋" w:hAnsi="仿宋" w:eastAsia="仿宋" w:cs="Times New Roman"/>
                <w:b/>
                <w:color w:val="auto"/>
                <w:sz w:val="24"/>
                <w:lang w:val="en-US" w:eastAsia="zh-CN"/>
              </w:rPr>
            </w:pPr>
            <w:r>
              <w:rPr>
                <w:rFonts w:hint="eastAsia" w:ascii="仿宋" w:hAnsi="仿宋" w:eastAsia="仿宋" w:cs="Times New Roman"/>
                <w:b/>
                <w:color w:val="auto"/>
                <w:sz w:val="24"/>
                <w:lang w:val="en-US" w:eastAsia="zh-CN"/>
              </w:rPr>
              <w:t>40</w:t>
            </w:r>
          </w:p>
        </w:tc>
      </w:tr>
      <w:tr w14:paraId="63C53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588" w:type="dxa"/>
            <w:tcBorders>
              <w:top w:val="single" w:color="auto" w:sz="4" w:space="0"/>
              <w:left w:val="single" w:color="auto" w:sz="4" w:space="0"/>
              <w:bottom w:val="single" w:color="auto" w:sz="4" w:space="0"/>
              <w:right w:val="single" w:color="auto" w:sz="4" w:space="0"/>
            </w:tcBorders>
            <w:noWrap w:val="0"/>
            <w:vAlign w:val="center"/>
          </w:tcPr>
          <w:p w14:paraId="3B6AC27A">
            <w:pPr>
              <w:pStyle w:val="74"/>
              <w:snapToGrid w:val="0"/>
              <w:spacing w:before="120" w:beforeLines="50" w:after="120" w:afterLines="50"/>
              <w:jc w:val="center"/>
              <w:rPr>
                <w:rFonts w:hint="eastAsia" w:ascii="仿宋" w:hAnsi="仿宋" w:eastAsia="仿宋" w:cs="Times New Roman"/>
                <w:b/>
                <w:color w:val="auto"/>
                <w:sz w:val="24"/>
                <w:lang w:eastAsia="zh-CN"/>
              </w:rPr>
            </w:pPr>
            <w:r>
              <w:rPr>
                <w:rFonts w:hint="eastAsia" w:ascii="仿宋" w:hAnsi="仿宋" w:eastAsia="仿宋" w:cs="Times New Roman"/>
                <w:b/>
                <w:color w:val="auto"/>
                <w:sz w:val="24"/>
                <w:lang w:val="en-US" w:eastAsia="zh-CN"/>
              </w:rPr>
              <w:t>1.1</w:t>
            </w:r>
            <w:r>
              <w:rPr>
                <w:rFonts w:hint="eastAsia" w:ascii="仿宋" w:hAnsi="仿宋" w:eastAsia="仿宋" w:cs="Times New Roman"/>
                <w:b/>
                <w:color w:val="auto"/>
                <w:sz w:val="24"/>
              </w:rPr>
              <w:t>基本知识</w:t>
            </w:r>
          </w:p>
        </w:tc>
        <w:tc>
          <w:tcPr>
            <w:tcW w:w="5312" w:type="dxa"/>
            <w:tcBorders>
              <w:top w:val="single" w:color="auto" w:sz="4" w:space="0"/>
              <w:left w:val="single" w:color="auto" w:sz="4" w:space="0"/>
              <w:bottom w:val="single" w:color="auto" w:sz="4" w:space="0"/>
              <w:right w:val="single" w:color="auto" w:sz="4" w:space="0"/>
            </w:tcBorders>
            <w:noWrap w:val="0"/>
            <w:vAlign w:val="center"/>
          </w:tcPr>
          <w:p w14:paraId="22E3A54C">
            <w:pPr>
              <w:pStyle w:val="74"/>
              <w:snapToGrid w:val="0"/>
              <w:spacing w:before="120" w:beforeLines="50" w:after="120" w:afterLines="50"/>
              <w:jc w:val="left"/>
              <w:rPr>
                <w:rFonts w:hint="eastAsia" w:ascii="仿宋" w:hAnsi="仿宋" w:eastAsia="仿宋" w:cs="Times New Roman"/>
                <w:b w:val="0"/>
                <w:bCs/>
                <w:color w:val="auto"/>
                <w:sz w:val="24"/>
                <w:lang w:eastAsia="zh-CN"/>
              </w:rPr>
            </w:pPr>
            <w:r>
              <w:rPr>
                <w:rFonts w:hint="eastAsia" w:ascii="仿宋" w:hAnsi="仿宋" w:eastAsia="仿宋" w:cs="Times New Roman"/>
                <w:b w:val="0"/>
                <w:bCs/>
                <w:color w:val="auto"/>
                <w:sz w:val="24"/>
              </w:rPr>
              <w:t>设备运行状况核查方法，不同颜色服装的相互影响，水洗工作液配制方法，水洗工艺参数（浴比、温度、时间、转速）调整逻辑，水洗过程中常见安全隐患处理方法。</w:t>
            </w:r>
          </w:p>
        </w:tc>
        <w:tc>
          <w:tcPr>
            <w:tcW w:w="1738" w:type="dxa"/>
            <w:vMerge w:val="continue"/>
            <w:tcBorders>
              <w:top w:val="single" w:color="auto" w:sz="4" w:space="0"/>
              <w:left w:val="single" w:color="auto" w:sz="4" w:space="0"/>
              <w:bottom w:val="single" w:color="auto" w:sz="4" w:space="0"/>
              <w:right w:val="single" w:color="auto" w:sz="4" w:space="0"/>
            </w:tcBorders>
            <w:noWrap w:val="0"/>
            <w:vAlign w:val="center"/>
          </w:tcPr>
          <w:p w14:paraId="7EEFFEF6">
            <w:pPr>
              <w:pStyle w:val="74"/>
              <w:snapToGrid w:val="0"/>
              <w:spacing w:before="120" w:beforeLines="50" w:after="120" w:afterLines="50"/>
              <w:jc w:val="center"/>
              <w:rPr>
                <w:rFonts w:ascii="仿宋" w:hAnsi="仿宋" w:eastAsia="仿宋" w:cs="Times New Roman"/>
                <w:b/>
                <w:color w:val="auto"/>
                <w:sz w:val="24"/>
                <w:lang w:val="en-GB"/>
              </w:rPr>
            </w:pPr>
          </w:p>
        </w:tc>
      </w:tr>
      <w:tr w14:paraId="398CC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1588" w:type="dxa"/>
            <w:tcBorders>
              <w:top w:val="single" w:color="auto" w:sz="4" w:space="0"/>
              <w:left w:val="single" w:color="auto" w:sz="4" w:space="0"/>
              <w:bottom w:val="single" w:color="auto" w:sz="4" w:space="0"/>
              <w:right w:val="single" w:color="auto" w:sz="4" w:space="0"/>
            </w:tcBorders>
            <w:noWrap w:val="0"/>
            <w:vAlign w:val="center"/>
          </w:tcPr>
          <w:p w14:paraId="7DF41D57">
            <w:pPr>
              <w:pStyle w:val="74"/>
              <w:snapToGrid w:val="0"/>
              <w:spacing w:before="120" w:beforeLines="50" w:after="120" w:afterLines="50"/>
              <w:jc w:val="center"/>
              <w:rPr>
                <w:rFonts w:hint="eastAsia" w:ascii="仿宋" w:hAnsi="仿宋" w:eastAsia="仿宋" w:cs="Times New Roman"/>
                <w:b/>
                <w:color w:val="auto"/>
                <w:sz w:val="24"/>
                <w:lang w:eastAsia="zh-CN"/>
              </w:rPr>
            </w:pPr>
            <w:r>
              <w:rPr>
                <w:rFonts w:hint="eastAsia" w:ascii="仿宋" w:hAnsi="仿宋" w:eastAsia="仿宋" w:cs="Times New Roman"/>
                <w:b/>
                <w:color w:val="auto"/>
                <w:sz w:val="24"/>
                <w:lang w:val="en-US" w:eastAsia="zh-CN"/>
              </w:rPr>
              <w:t>1.2</w:t>
            </w:r>
            <w:r>
              <w:rPr>
                <w:rFonts w:hint="eastAsia" w:ascii="仿宋" w:hAnsi="仿宋" w:eastAsia="仿宋" w:cs="Times New Roman"/>
                <w:b/>
                <w:color w:val="auto"/>
                <w:sz w:val="24"/>
              </w:rPr>
              <w:t>技能要求</w:t>
            </w:r>
          </w:p>
        </w:tc>
        <w:tc>
          <w:tcPr>
            <w:tcW w:w="5312" w:type="dxa"/>
            <w:tcBorders>
              <w:top w:val="single" w:color="auto" w:sz="4" w:space="0"/>
              <w:left w:val="single" w:color="auto" w:sz="4" w:space="0"/>
              <w:bottom w:val="single" w:color="auto" w:sz="4" w:space="0"/>
              <w:right w:val="single" w:color="auto" w:sz="4" w:space="0"/>
            </w:tcBorders>
            <w:noWrap w:val="0"/>
            <w:vAlign w:val="center"/>
          </w:tcPr>
          <w:p w14:paraId="1AEF38AA">
            <w:pPr>
              <w:pStyle w:val="74"/>
              <w:snapToGrid w:val="0"/>
              <w:spacing w:before="120" w:beforeLines="50" w:after="120" w:afterLines="50"/>
              <w:jc w:val="left"/>
              <w:rPr>
                <w:rFonts w:hint="eastAsia" w:ascii="仿宋" w:hAnsi="仿宋" w:eastAsia="仿宋" w:cs="Times New Roman"/>
                <w:b w:val="0"/>
                <w:bCs/>
                <w:color w:val="auto"/>
                <w:sz w:val="24"/>
                <w:lang w:eastAsia="zh-CN"/>
              </w:rPr>
            </w:pPr>
            <w:r>
              <w:rPr>
                <w:rFonts w:hint="eastAsia" w:ascii="仿宋" w:hAnsi="仿宋" w:eastAsia="仿宋" w:cs="Times New Roman"/>
                <w:b w:val="0"/>
                <w:bCs/>
                <w:color w:val="auto"/>
                <w:sz w:val="24"/>
              </w:rPr>
              <w:t>能根据工艺单要求核查设备运行状况，能根据生产计划安排水洗顺序，能配制水洗工作液，能调整水洗工艺参数，能处理水洗过程中的安全隐患。</w:t>
            </w:r>
          </w:p>
        </w:tc>
        <w:tc>
          <w:tcPr>
            <w:tcW w:w="1738" w:type="dxa"/>
            <w:vMerge w:val="continue"/>
            <w:tcBorders>
              <w:top w:val="single" w:color="auto" w:sz="4" w:space="0"/>
              <w:left w:val="single" w:color="auto" w:sz="4" w:space="0"/>
              <w:bottom w:val="single" w:color="auto" w:sz="4" w:space="0"/>
              <w:right w:val="single" w:color="auto" w:sz="4" w:space="0"/>
            </w:tcBorders>
            <w:noWrap w:val="0"/>
            <w:vAlign w:val="center"/>
          </w:tcPr>
          <w:p w14:paraId="165753EA">
            <w:pPr>
              <w:pStyle w:val="74"/>
              <w:snapToGrid w:val="0"/>
              <w:spacing w:before="120" w:beforeLines="50" w:after="120" w:afterLines="50"/>
              <w:jc w:val="center"/>
              <w:rPr>
                <w:rFonts w:ascii="仿宋" w:hAnsi="仿宋" w:eastAsia="仿宋" w:cs="Times New Roman"/>
                <w:b/>
                <w:color w:val="auto"/>
                <w:sz w:val="24"/>
                <w:lang w:val="en-GB"/>
              </w:rPr>
            </w:pPr>
          </w:p>
        </w:tc>
      </w:tr>
      <w:tr w14:paraId="1AFC6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588" w:type="dxa"/>
            <w:tcBorders>
              <w:top w:val="single" w:color="auto" w:sz="4" w:space="0"/>
              <w:left w:val="single" w:color="auto" w:sz="4" w:space="0"/>
              <w:bottom w:val="single" w:color="auto" w:sz="4" w:space="0"/>
              <w:right w:val="single" w:color="auto" w:sz="4" w:space="0"/>
            </w:tcBorders>
            <w:noWrap w:val="0"/>
            <w:vAlign w:val="center"/>
          </w:tcPr>
          <w:p w14:paraId="4493B509">
            <w:pPr>
              <w:pStyle w:val="74"/>
              <w:snapToGrid w:val="0"/>
              <w:spacing w:before="120" w:beforeLines="50" w:after="120" w:afterLines="50"/>
              <w:jc w:val="center"/>
              <w:rPr>
                <w:rFonts w:hint="eastAsia" w:ascii="仿宋" w:hAnsi="仿宋" w:eastAsia="仿宋" w:cs="Times New Roman"/>
                <w:b/>
                <w:color w:val="auto"/>
                <w:sz w:val="24"/>
              </w:rPr>
            </w:pPr>
            <w:r>
              <w:rPr>
                <w:rFonts w:hint="eastAsia" w:ascii="仿宋" w:hAnsi="仿宋" w:eastAsia="仿宋" w:cs="Times New Roman"/>
                <w:b/>
                <w:color w:val="auto"/>
                <w:sz w:val="24"/>
              </w:rPr>
              <w:t>2</w:t>
            </w:r>
          </w:p>
        </w:tc>
        <w:tc>
          <w:tcPr>
            <w:tcW w:w="5312" w:type="dxa"/>
            <w:tcBorders>
              <w:top w:val="single" w:color="auto" w:sz="4" w:space="0"/>
              <w:left w:val="single" w:color="auto" w:sz="4" w:space="0"/>
              <w:bottom w:val="single" w:color="auto" w:sz="4" w:space="0"/>
              <w:right w:val="single" w:color="auto" w:sz="4" w:space="0"/>
            </w:tcBorders>
            <w:noWrap w:val="0"/>
            <w:vAlign w:val="center"/>
          </w:tcPr>
          <w:p w14:paraId="4A0ACC04">
            <w:pPr>
              <w:pStyle w:val="74"/>
              <w:snapToGrid w:val="0"/>
              <w:spacing w:before="120" w:beforeLines="50" w:after="120" w:afterLines="50"/>
              <w:jc w:val="center"/>
              <w:rPr>
                <w:rFonts w:hint="eastAsia" w:ascii="仿宋" w:hAnsi="仿宋" w:eastAsia="仿宋" w:cs="Times New Roman"/>
                <w:b/>
                <w:color w:val="auto"/>
                <w:sz w:val="24"/>
              </w:rPr>
            </w:pPr>
            <w:r>
              <w:rPr>
                <w:rFonts w:hint="eastAsia" w:ascii="仿宋" w:hAnsi="仿宋" w:eastAsia="仿宋" w:cs="Times New Roman"/>
                <w:b/>
                <w:color w:val="auto"/>
                <w:sz w:val="24"/>
              </w:rPr>
              <w:t>质量控制</w:t>
            </w:r>
          </w:p>
        </w:tc>
        <w:tc>
          <w:tcPr>
            <w:tcW w:w="1738" w:type="dxa"/>
            <w:vMerge w:val="restart"/>
            <w:tcBorders>
              <w:top w:val="single" w:color="auto" w:sz="4" w:space="0"/>
              <w:left w:val="single" w:color="auto" w:sz="4" w:space="0"/>
              <w:bottom w:val="single" w:color="auto" w:sz="4" w:space="0"/>
              <w:right w:val="single" w:color="auto" w:sz="4" w:space="0"/>
            </w:tcBorders>
            <w:noWrap w:val="0"/>
            <w:vAlign w:val="center"/>
          </w:tcPr>
          <w:p w14:paraId="2C03AC5E">
            <w:pPr>
              <w:pStyle w:val="74"/>
              <w:snapToGrid w:val="0"/>
              <w:spacing w:before="120" w:beforeLines="50" w:after="120" w:afterLines="50"/>
              <w:jc w:val="center"/>
              <w:rPr>
                <w:rFonts w:hint="default" w:ascii="仿宋" w:hAnsi="仿宋" w:eastAsia="仿宋" w:cs="Times New Roman"/>
                <w:b/>
                <w:color w:val="auto"/>
                <w:sz w:val="24"/>
                <w:lang w:val="en-US" w:eastAsia="zh-CN"/>
              </w:rPr>
            </w:pPr>
            <w:r>
              <w:rPr>
                <w:rFonts w:hint="eastAsia" w:ascii="仿宋" w:hAnsi="仿宋" w:eastAsia="仿宋" w:cs="Times New Roman"/>
                <w:b/>
                <w:color w:val="auto"/>
                <w:sz w:val="24"/>
                <w:lang w:val="en-US" w:eastAsia="zh-CN"/>
              </w:rPr>
              <w:t>30</w:t>
            </w:r>
          </w:p>
        </w:tc>
      </w:tr>
      <w:tr w14:paraId="702F8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1588" w:type="dxa"/>
            <w:tcBorders>
              <w:top w:val="single" w:color="auto" w:sz="4" w:space="0"/>
              <w:left w:val="single" w:color="auto" w:sz="4" w:space="0"/>
              <w:bottom w:val="single" w:color="auto" w:sz="4" w:space="0"/>
              <w:right w:val="single" w:color="auto" w:sz="4" w:space="0"/>
            </w:tcBorders>
            <w:noWrap w:val="0"/>
            <w:vAlign w:val="center"/>
          </w:tcPr>
          <w:p w14:paraId="23199A38">
            <w:pPr>
              <w:pStyle w:val="74"/>
              <w:snapToGrid w:val="0"/>
              <w:spacing w:before="120" w:beforeLines="50" w:after="120" w:afterLines="50"/>
              <w:jc w:val="center"/>
              <w:rPr>
                <w:rFonts w:hint="eastAsia" w:ascii="仿宋" w:hAnsi="仿宋" w:eastAsia="仿宋" w:cs="Times New Roman"/>
                <w:b/>
                <w:color w:val="auto"/>
                <w:sz w:val="24"/>
                <w:lang w:eastAsia="zh-CN"/>
              </w:rPr>
            </w:pPr>
            <w:r>
              <w:rPr>
                <w:rFonts w:hint="eastAsia" w:ascii="仿宋" w:hAnsi="仿宋" w:eastAsia="仿宋" w:cs="Times New Roman"/>
                <w:b/>
                <w:color w:val="auto"/>
                <w:sz w:val="24"/>
                <w:lang w:val="en-US" w:eastAsia="zh-CN"/>
              </w:rPr>
              <w:t>2.1</w:t>
            </w:r>
            <w:r>
              <w:rPr>
                <w:rFonts w:hint="eastAsia" w:ascii="仿宋" w:hAnsi="仿宋" w:eastAsia="仿宋" w:cs="Times New Roman"/>
                <w:b/>
                <w:color w:val="auto"/>
                <w:sz w:val="24"/>
              </w:rPr>
              <w:t>基本知识</w:t>
            </w:r>
          </w:p>
        </w:tc>
        <w:tc>
          <w:tcPr>
            <w:tcW w:w="5312" w:type="dxa"/>
            <w:tcBorders>
              <w:top w:val="single" w:color="auto" w:sz="4" w:space="0"/>
              <w:left w:val="single" w:color="auto" w:sz="4" w:space="0"/>
              <w:bottom w:val="single" w:color="auto" w:sz="4" w:space="0"/>
              <w:right w:val="single" w:color="auto" w:sz="4" w:space="0"/>
            </w:tcBorders>
            <w:noWrap w:val="0"/>
            <w:vAlign w:val="center"/>
          </w:tcPr>
          <w:p w14:paraId="1CC88DD2">
            <w:pPr>
              <w:pStyle w:val="74"/>
              <w:snapToGrid w:val="0"/>
              <w:spacing w:before="120" w:beforeLines="50" w:after="120" w:afterLines="50"/>
              <w:jc w:val="left"/>
              <w:rPr>
                <w:rFonts w:hint="eastAsia" w:ascii="仿宋" w:hAnsi="仿宋" w:eastAsia="仿宋" w:cs="Times New Roman"/>
                <w:b w:val="0"/>
                <w:bCs/>
                <w:color w:val="auto"/>
                <w:sz w:val="24"/>
                <w:lang w:val="en-US" w:eastAsia="zh-CN"/>
              </w:rPr>
            </w:pPr>
            <w:r>
              <w:rPr>
                <w:rFonts w:hint="eastAsia" w:ascii="仿宋" w:hAnsi="仿宋" w:eastAsia="仿宋" w:cs="Times New Roman"/>
                <w:b w:val="0"/>
                <w:bCs/>
                <w:color w:val="auto"/>
                <w:sz w:val="24"/>
              </w:rPr>
              <w:t>水洗过程中常见工艺操作问题，水洗效果判定方法，常见工艺操作问题的处理方法，常见的设备质量问题。</w:t>
            </w:r>
          </w:p>
        </w:tc>
        <w:tc>
          <w:tcPr>
            <w:tcW w:w="1738" w:type="dxa"/>
            <w:vMerge w:val="continue"/>
            <w:tcBorders>
              <w:top w:val="single" w:color="auto" w:sz="4" w:space="0"/>
              <w:left w:val="single" w:color="auto" w:sz="4" w:space="0"/>
              <w:bottom w:val="single" w:color="auto" w:sz="4" w:space="0"/>
              <w:right w:val="single" w:color="auto" w:sz="4" w:space="0"/>
            </w:tcBorders>
            <w:noWrap w:val="0"/>
            <w:vAlign w:val="center"/>
          </w:tcPr>
          <w:p w14:paraId="3C951F81">
            <w:pPr>
              <w:pStyle w:val="74"/>
              <w:snapToGrid w:val="0"/>
              <w:spacing w:before="120" w:beforeLines="50" w:after="120" w:afterLines="50"/>
              <w:jc w:val="center"/>
              <w:rPr>
                <w:rFonts w:ascii="仿宋" w:hAnsi="仿宋" w:eastAsia="仿宋" w:cs="Times New Roman"/>
                <w:b/>
                <w:color w:val="auto"/>
                <w:sz w:val="24"/>
                <w:lang w:val="en-GB" w:eastAsia="en-US"/>
              </w:rPr>
            </w:pPr>
          </w:p>
        </w:tc>
      </w:tr>
      <w:tr w14:paraId="6B4EB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1588" w:type="dxa"/>
            <w:tcBorders>
              <w:top w:val="single" w:color="auto" w:sz="4" w:space="0"/>
              <w:left w:val="single" w:color="auto" w:sz="4" w:space="0"/>
              <w:bottom w:val="single" w:color="auto" w:sz="4" w:space="0"/>
              <w:right w:val="single" w:color="auto" w:sz="4" w:space="0"/>
            </w:tcBorders>
            <w:noWrap w:val="0"/>
            <w:vAlign w:val="center"/>
          </w:tcPr>
          <w:p w14:paraId="4BD96107">
            <w:pPr>
              <w:pStyle w:val="74"/>
              <w:snapToGrid w:val="0"/>
              <w:spacing w:before="120" w:beforeLines="50" w:after="120" w:afterLines="50"/>
              <w:jc w:val="center"/>
              <w:rPr>
                <w:rFonts w:hint="eastAsia" w:ascii="仿宋" w:hAnsi="仿宋" w:eastAsia="仿宋" w:cs="Times New Roman"/>
                <w:b/>
                <w:color w:val="auto"/>
                <w:sz w:val="24"/>
                <w:lang w:eastAsia="zh-CN"/>
              </w:rPr>
            </w:pPr>
            <w:r>
              <w:rPr>
                <w:rFonts w:hint="eastAsia" w:ascii="仿宋" w:hAnsi="仿宋" w:eastAsia="仿宋" w:cs="Times New Roman"/>
                <w:b/>
                <w:color w:val="auto"/>
                <w:sz w:val="24"/>
                <w:lang w:val="en-US" w:eastAsia="zh-CN"/>
              </w:rPr>
              <w:t>2.2</w:t>
            </w:r>
            <w:r>
              <w:rPr>
                <w:rFonts w:hint="eastAsia" w:ascii="仿宋" w:hAnsi="仿宋" w:eastAsia="仿宋" w:cs="Times New Roman"/>
                <w:b/>
                <w:color w:val="auto"/>
                <w:sz w:val="24"/>
              </w:rPr>
              <w:t>技能要求</w:t>
            </w:r>
          </w:p>
        </w:tc>
        <w:tc>
          <w:tcPr>
            <w:tcW w:w="5312" w:type="dxa"/>
            <w:tcBorders>
              <w:top w:val="single" w:color="auto" w:sz="4" w:space="0"/>
              <w:left w:val="single" w:color="auto" w:sz="4" w:space="0"/>
              <w:bottom w:val="single" w:color="auto" w:sz="4" w:space="0"/>
              <w:right w:val="single" w:color="auto" w:sz="4" w:space="0"/>
            </w:tcBorders>
            <w:noWrap w:val="0"/>
            <w:vAlign w:val="center"/>
          </w:tcPr>
          <w:p w14:paraId="23D79ADE">
            <w:pPr>
              <w:pStyle w:val="74"/>
              <w:snapToGrid w:val="0"/>
              <w:spacing w:before="120" w:beforeLines="50" w:after="120" w:afterLines="50"/>
              <w:jc w:val="left"/>
              <w:rPr>
                <w:rFonts w:hint="eastAsia" w:ascii="仿宋" w:hAnsi="仿宋" w:eastAsia="仿宋" w:cs="Times New Roman"/>
                <w:b w:val="0"/>
                <w:bCs/>
                <w:color w:val="auto"/>
                <w:sz w:val="24"/>
                <w:lang w:val="en-US" w:eastAsia="zh-CN"/>
              </w:rPr>
            </w:pPr>
            <w:r>
              <w:rPr>
                <w:rFonts w:hint="eastAsia" w:ascii="仿宋" w:hAnsi="仿宋" w:eastAsia="仿宋" w:cs="Times New Roman"/>
                <w:b w:val="0"/>
                <w:bCs/>
                <w:color w:val="auto"/>
                <w:sz w:val="24"/>
              </w:rPr>
              <w:t>能发现水洗过程中的工艺操作问题，能判定水洗效果，能处理水洗过程中的工艺操作问题，能判断引起水洗质量波动的设备原因。</w:t>
            </w:r>
          </w:p>
        </w:tc>
        <w:tc>
          <w:tcPr>
            <w:tcW w:w="1738" w:type="dxa"/>
            <w:vMerge w:val="continue"/>
            <w:tcBorders>
              <w:top w:val="single" w:color="auto" w:sz="4" w:space="0"/>
              <w:left w:val="single" w:color="auto" w:sz="4" w:space="0"/>
              <w:bottom w:val="single" w:color="auto" w:sz="4" w:space="0"/>
              <w:right w:val="single" w:color="auto" w:sz="4" w:space="0"/>
            </w:tcBorders>
            <w:noWrap w:val="0"/>
            <w:vAlign w:val="center"/>
          </w:tcPr>
          <w:p w14:paraId="4E05ED54">
            <w:pPr>
              <w:pStyle w:val="74"/>
              <w:snapToGrid w:val="0"/>
              <w:spacing w:before="120" w:beforeLines="50" w:after="120" w:afterLines="50"/>
              <w:jc w:val="center"/>
              <w:rPr>
                <w:rFonts w:ascii="仿宋" w:hAnsi="仿宋" w:eastAsia="仿宋" w:cs="Times New Roman"/>
                <w:b/>
                <w:color w:val="auto"/>
                <w:sz w:val="24"/>
                <w:lang w:val="en-GB" w:eastAsia="en-US"/>
              </w:rPr>
            </w:pPr>
          </w:p>
        </w:tc>
      </w:tr>
      <w:tr w14:paraId="304F2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1588" w:type="dxa"/>
            <w:tcBorders>
              <w:top w:val="single" w:color="auto" w:sz="4" w:space="0"/>
              <w:left w:val="single" w:color="auto" w:sz="4" w:space="0"/>
              <w:bottom w:val="single" w:color="auto" w:sz="4" w:space="0"/>
              <w:right w:val="single" w:color="auto" w:sz="4" w:space="0"/>
            </w:tcBorders>
            <w:noWrap w:val="0"/>
            <w:vAlign w:val="center"/>
          </w:tcPr>
          <w:p w14:paraId="29B4E1A8">
            <w:pPr>
              <w:pStyle w:val="74"/>
              <w:snapToGrid w:val="0"/>
              <w:spacing w:before="120" w:beforeLines="50" w:after="120" w:afterLines="50"/>
              <w:jc w:val="center"/>
              <w:rPr>
                <w:rFonts w:hint="eastAsia" w:ascii="仿宋" w:hAnsi="仿宋" w:eastAsia="仿宋" w:cs="Times New Roman"/>
                <w:b/>
                <w:color w:val="auto"/>
                <w:sz w:val="24"/>
                <w:lang w:eastAsia="zh-CN"/>
              </w:rPr>
            </w:pPr>
            <w:r>
              <w:rPr>
                <w:rFonts w:hint="eastAsia" w:ascii="仿宋" w:hAnsi="仿宋" w:eastAsia="仿宋" w:cs="Times New Roman"/>
                <w:b/>
                <w:color w:val="auto"/>
                <w:sz w:val="24"/>
                <w:lang w:val="en-US" w:eastAsia="zh-CN"/>
              </w:rPr>
              <w:t>3</w:t>
            </w:r>
            <w:r>
              <w:rPr>
                <w:rFonts w:hint="eastAsia" w:ascii="仿宋" w:hAnsi="仿宋" w:eastAsia="仿宋" w:cs="Times New Roman"/>
                <w:b/>
                <w:color w:val="auto"/>
                <w:sz w:val="24"/>
                <w:lang w:eastAsia="zh-CN"/>
              </w:rPr>
              <w:t>.</w:t>
            </w:r>
          </w:p>
        </w:tc>
        <w:tc>
          <w:tcPr>
            <w:tcW w:w="5312" w:type="dxa"/>
            <w:tcBorders>
              <w:top w:val="single" w:color="auto" w:sz="4" w:space="0"/>
              <w:left w:val="single" w:color="auto" w:sz="4" w:space="0"/>
              <w:bottom w:val="single" w:color="auto" w:sz="4" w:space="0"/>
              <w:right w:val="single" w:color="auto" w:sz="4" w:space="0"/>
            </w:tcBorders>
            <w:noWrap w:val="0"/>
            <w:vAlign w:val="center"/>
          </w:tcPr>
          <w:p w14:paraId="5F39CC22">
            <w:pPr>
              <w:pStyle w:val="74"/>
              <w:snapToGrid w:val="0"/>
              <w:spacing w:before="120" w:beforeLines="50" w:after="120" w:afterLines="50"/>
              <w:jc w:val="center"/>
              <w:rPr>
                <w:rFonts w:hint="eastAsia" w:ascii="仿宋" w:hAnsi="仿宋" w:eastAsia="仿宋" w:cs="Times New Roman"/>
                <w:b/>
                <w:color w:val="auto"/>
                <w:sz w:val="24"/>
              </w:rPr>
            </w:pPr>
            <w:r>
              <w:rPr>
                <w:rFonts w:hint="eastAsia" w:ascii="仿宋" w:hAnsi="仿宋" w:eastAsia="仿宋" w:cs="Times New Roman"/>
                <w:b/>
                <w:color w:val="auto"/>
                <w:sz w:val="24"/>
              </w:rPr>
              <w:t>设备维护</w:t>
            </w:r>
          </w:p>
        </w:tc>
        <w:tc>
          <w:tcPr>
            <w:tcW w:w="1738" w:type="dxa"/>
            <w:vMerge w:val="restart"/>
            <w:tcBorders>
              <w:top w:val="single" w:color="auto" w:sz="4" w:space="0"/>
              <w:left w:val="single" w:color="auto" w:sz="4" w:space="0"/>
              <w:bottom w:val="single" w:color="auto" w:sz="4" w:space="0"/>
              <w:right w:val="single" w:color="auto" w:sz="4" w:space="0"/>
            </w:tcBorders>
            <w:noWrap w:val="0"/>
            <w:vAlign w:val="center"/>
          </w:tcPr>
          <w:p w14:paraId="4BF46B45">
            <w:pPr>
              <w:pStyle w:val="74"/>
              <w:snapToGrid w:val="0"/>
              <w:spacing w:before="120" w:beforeLines="50" w:after="120" w:afterLines="50"/>
              <w:jc w:val="center"/>
              <w:rPr>
                <w:rFonts w:hint="default" w:ascii="仿宋" w:hAnsi="仿宋" w:eastAsia="仿宋" w:cs="Times New Roman"/>
                <w:b/>
                <w:color w:val="auto"/>
                <w:sz w:val="24"/>
                <w:lang w:val="en-US" w:eastAsia="zh-CN"/>
              </w:rPr>
            </w:pPr>
            <w:r>
              <w:rPr>
                <w:rFonts w:hint="eastAsia" w:ascii="仿宋" w:hAnsi="仿宋" w:eastAsia="仿宋" w:cs="Times New Roman"/>
                <w:b/>
                <w:color w:val="auto"/>
                <w:sz w:val="24"/>
                <w:lang w:val="en-US" w:eastAsia="zh-CN"/>
              </w:rPr>
              <w:t>30</w:t>
            </w:r>
          </w:p>
        </w:tc>
      </w:tr>
      <w:tr w14:paraId="0D90E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1588" w:type="dxa"/>
            <w:tcBorders>
              <w:top w:val="single" w:color="auto" w:sz="4" w:space="0"/>
              <w:left w:val="single" w:color="auto" w:sz="4" w:space="0"/>
              <w:bottom w:val="single" w:color="auto" w:sz="4" w:space="0"/>
              <w:right w:val="single" w:color="auto" w:sz="4" w:space="0"/>
            </w:tcBorders>
            <w:noWrap w:val="0"/>
            <w:vAlign w:val="center"/>
          </w:tcPr>
          <w:p w14:paraId="6BB14BD8">
            <w:pPr>
              <w:pStyle w:val="74"/>
              <w:snapToGrid w:val="0"/>
              <w:spacing w:before="120" w:beforeLines="50" w:after="120" w:afterLines="50"/>
              <w:jc w:val="center"/>
              <w:rPr>
                <w:rFonts w:hint="eastAsia" w:ascii="仿宋" w:hAnsi="仿宋" w:eastAsia="仿宋" w:cs="Times New Roman"/>
                <w:b/>
                <w:color w:val="auto"/>
                <w:sz w:val="24"/>
                <w:lang w:eastAsia="zh-CN"/>
              </w:rPr>
            </w:pPr>
            <w:r>
              <w:rPr>
                <w:rFonts w:hint="eastAsia" w:ascii="仿宋" w:hAnsi="仿宋" w:eastAsia="仿宋" w:cs="Times New Roman"/>
                <w:b/>
                <w:color w:val="auto"/>
                <w:sz w:val="24"/>
                <w:lang w:val="en-US" w:eastAsia="zh-CN"/>
              </w:rPr>
              <w:t>3.1</w:t>
            </w:r>
            <w:r>
              <w:rPr>
                <w:rFonts w:hint="eastAsia" w:ascii="仿宋" w:hAnsi="仿宋" w:eastAsia="仿宋" w:cs="Times New Roman"/>
                <w:b/>
                <w:color w:val="auto"/>
                <w:sz w:val="24"/>
              </w:rPr>
              <w:t>基本知识</w:t>
            </w:r>
          </w:p>
        </w:tc>
        <w:tc>
          <w:tcPr>
            <w:tcW w:w="5312" w:type="dxa"/>
            <w:tcBorders>
              <w:top w:val="single" w:color="auto" w:sz="4" w:space="0"/>
              <w:left w:val="single" w:color="auto" w:sz="4" w:space="0"/>
              <w:bottom w:val="single" w:color="auto" w:sz="4" w:space="0"/>
              <w:right w:val="single" w:color="auto" w:sz="4" w:space="0"/>
            </w:tcBorders>
            <w:noWrap w:val="0"/>
            <w:vAlign w:val="top"/>
          </w:tcPr>
          <w:p w14:paraId="0F79B594">
            <w:pPr>
              <w:pStyle w:val="74"/>
              <w:snapToGrid w:val="0"/>
              <w:spacing w:before="120" w:beforeLines="50" w:after="120" w:afterLines="50"/>
              <w:jc w:val="left"/>
              <w:rPr>
                <w:rFonts w:hint="eastAsia" w:ascii="仿宋" w:hAnsi="仿宋" w:eastAsia="仿宋" w:cs="Times New Roman"/>
                <w:b w:val="0"/>
                <w:bCs/>
                <w:color w:val="auto"/>
                <w:sz w:val="24"/>
                <w:lang w:eastAsia="zh-CN"/>
              </w:rPr>
            </w:pPr>
            <w:r>
              <w:rPr>
                <w:rFonts w:hint="eastAsia" w:ascii="仿宋" w:hAnsi="仿宋" w:eastAsia="仿宋" w:cs="Times New Roman"/>
                <w:b w:val="0"/>
                <w:bCs/>
                <w:color w:val="auto"/>
                <w:sz w:val="24"/>
              </w:rPr>
              <w:t>单次服装水洗容量计算方法，设备维护保养知识，设备控制面板参数，设备常见机械故障处理方法。</w:t>
            </w:r>
          </w:p>
        </w:tc>
        <w:tc>
          <w:tcPr>
            <w:tcW w:w="1738" w:type="dxa"/>
            <w:vMerge w:val="continue"/>
            <w:tcBorders>
              <w:left w:val="single" w:color="auto" w:sz="4" w:space="0"/>
              <w:right w:val="single" w:color="auto" w:sz="4" w:space="0"/>
            </w:tcBorders>
            <w:noWrap w:val="0"/>
            <w:vAlign w:val="center"/>
          </w:tcPr>
          <w:p w14:paraId="392DCB44">
            <w:pPr>
              <w:pStyle w:val="74"/>
              <w:snapToGrid w:val="0"/>
              <w:spacing w:before="120" w:beforeLines="50" w:after="120" w:afterLines="50"/>
              <w:jc w:val="center"/>
              <w:rPr>
                <w:rFonts w:ascii="仿宋" w:hAnsi="仿宋" w:eastAsia="仿宋"/>
                <w:b/>
                <w:color w:val="auto"/>
                <w:sz w:val="24"/>
                <w:lang w:eastAsia="zh-CN"/>
              </w:rPr>
            </w:pPr>
          </w:p>
        </w:tc>
      </w:tr>
      <w:tr w14:paraId="3ED5B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1588" w:type="dxa"/>
            <w:tcBorders>
              <w:top w:val="single" w:color="auto" w:sz="4" w:space="0"/>
              <w:left w:val="single" w:color="auto" w:sz="4" w:space="0"/>
              <w:bottom w:val="single" w:color="auto" w:sz="4" w:space="0"/>
              <w:right w:val="single" w:color="auto" w:sz="4" w:space="0"/>
            </w:tcBorders>
            <w:noWrap w:val="0"/>
            <w:vAlign w:val="center"/>
          </w:tcPr>
          <w:p w14:paraId="5601EEFD">
            <w:pPr>
              <w:pStyle w:val="74"/>
              <w:snapToGrid w:val="0"/>
              <w:spacing w:before="120" w:beforeLines="50" w:after="120" w:afterLines="50"/>
              <w:jc w:val="center"/>
              <w:rPr>
                <w:rFonts w:hint="eastAsia" w:ascii="仿宋" w:hAnsi="仿宋" w:eastAsia="仿宋" w:cs="Times New Roman"/>
                <w:b/>
                <w:color w:val="auto"/>
                <w:sz w:val="24"/>
                <w:lang w:eastAsia="zh-CN"/>
              </w:rPr>
            </w:pPr>
            <w:r>
              <w:rPr>
                <w:rFonts w:hint="eastAsia" w:ascii="仿宋" w:hAnsi="仿宋" w:eastAsia="仿宋" w:cs="Times New Roman"/>
                <w:b/>
                <w:color w:val="auto"/>
                <w:sz w:val="24"/>
                <w:lang w:val="en-US" w:eastAsia="zh-CN"/>
              </w:rPr>
              <w:t>3.2</w:t>
            </w:r>
            <w:r>
              <w:rPr>
                <w:rFonts w:hint="eastAsia" w:ascii="仿宋" w:hAnsi="仿宋" w:eastAsia="仿宋" w:cs="Times New Roman"/>
                <w:b/>
                <w:color w:val="auto"/>
                <w:sz w:val="24"/>
              </w:rPr>
              <w:t>技能要求</w:t>
            </w:r>
          </w:p>
        </w:tc>
        <w:tc>
          <w:tcPr>
            <w:tcW w:w="5312" w:type="dxa"/>
            <w:tcBorders>
              <w:top w:val="single" w:color="auto" w:sz="4" w:space="0"/>
              <w:left w:val="single" w:color="auto" w:sz="4" w:space="0"/>
              <w:bottom w:val="single" w:color="auto" w:sz="4" w:space="0"/>
              <w:right w:val="single" w:color="auto" w:sz="4" w:space="0"/>
            </w:tcBorders>
            <w:noWrap w:val="0"/>
            <w:vAlign w:val="top"/>
          </w:tcPr>
          <w:p w14:paraId="1EE584DC">
            <w:pPr>
              <w:pStyle w:val="74"/>
              <w:snapToGrid w:val="0"/>
              <w:spacing w:before="120" w:beforeLines="50" w:after="120" w:afterLines="50"/>
              <w:jc w:val="left"/>
              <w:rPr>
                <w:rFonts w:hint="eastAsia" w:ascii="仿宋" w:hAnsi="仿宋" w:eastAsia="仿宋" w:cs="Times New Roman"/>
                <w:b w:val="0"/>
                <w:bCs/>
                <w:color w:val="auto"/>
                <w:sz w:val="24"/>
                <w:lang w:eastAsia="zh-CN"/>
              </w:rPr>
            </w:pPr>
            <w:r>
              <w:rPr>
                <w:rFonts w:hint="eastAsia" w:ascii="仿宋" w:hAnsi="仿宋" w:eastAsia="仿宋" w:cs="Times New Roman"/>
                <w:b w:val="0"/>
                <w:bCs/>
                <w:color w:val="auto"/>
                <w:sz w:val="24"/>
              </w:rPr>
              <w:t>能计算单次服装水洗容量，能根据计划对设备进行维护保养，能读取和分析设备控制面板数据，能处理设备振动、异响、异味、滴漏等机械故障并记录。</w:t>
            </w:r>
          </w:p>
        </w:tc>
        <w:tc>
          <w:tcPr>
            <w:tcW w:w="1738" w:type="dxa"/>
            <w:vMerge w:val="continue"/>
            <w:tcBorders>
              <w:left w:val="single" w:color="auto" w:sz="4" w:space="0"/>
              <w:right w:val="single" w:color="auto" w:sz="4" w:space="0"/>
            </w:tcBorders>
            <w:noWrap w:val="0"/>
            <w:vAlign w:val="center"/>
          </w:tcPr>
          <w:p w14:paraId="69239FC9">
            <w:pPr>
              <w:pStyle w:val="74"/>
              <w:snapToGrid w:val="0"/>
              <w:spacing w:before="120" w:beforeLines="50" w:after="120" w:afterLines="50"/>
              <w:jc w:val="center"/>
              <w:rPr>
                <w:rFonts w:ascii="仿宋" w:hAnsi="仿宋" w:eastAsia="仿宋"/>
                <w:b/>
                <w:color w:val="auto"/>
                <w:sz w:val="24"/>
                <w:lang w:eastAsia="zh-CN"/>
              </w:rPr>
            </w:pPr>
          </w:p>
        </w:tc>
      </w:tr>
      <w:tr w14:paraId="30D7C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6900" w:type="dxa"/>
            <w:gridSpan w:val="2"/>
            <w:tcBorders>
              <w:top w:val="single" w:color="auto" w:sz="4" w:space="0"/>
              <w:left w:val="single" w:color="auto" w:sz="4" w:space="0"/>
              <w:bottom w:val="single" w:color="auto" w:sz="4" w:space="0"/>
              <w:right w:val="single" w:color="auto" w:sz="4" w:space="0"/>
            </w:tcBorders>
            <w:noWrap w:val="0"/>
            <w:vAlign w:val="center"/>
          </w:tcPr>
          <w:p w14:paraId="4FD41100">
            <w:pPr>
              <w:pStyle w:val="76"/>
              <w:numPr>
                <w:ilvl w:val="0"/>
                <w:numId w:val="0"/>
              </w:numPr>
              <w:snapToGrid w:val="0"/>
              <w:spacing w:before="120" w:beforeLines="50" w:afterLines="50"/>
              <w:ind w:left="284"/>
              <w:jc w:val="center"/>
              <w:rPr>
                <w:rFonts w:ascii="仿宋" w:hAnsi="仿宋" w:eastAsia="仿宋"/>
                <w:b/>
                <w:color w:val="000000"/>
                <w:sz w:val="24"/>
                <w:szCs w:val="24"/>
                <w:lang w:val="en-US" w:eastAsia="zh-CN"/>
              </w:rPr>
            </w:pPr>
            <w:r>
              <w:rPr>
                <w:rFonts w:ascii="仿宋" w:hAnsi="仿宋" w:eastAsia="仿宋"/>
                <w:b/>
                <w:sz w:val="24"/>
                <w:lang w:eastAsia="zh-CN"/>
              </w:rPr>
              <w:t>合计</w:t>
            </w:r>
          </w:p>
        </w:tc>
        <w:tc>
          <w:tcPr>
            <w:tcW w:w="1738" w:type="dxa"/>
            <w:tcBorders>
              <w:top w:val="single" w:color="auto" w:sz="4" w:space="0"/>
              <w:left w:val="single" w:color="auto" w:sz="4" w:space="0"/>
              <w:bottom w:val="single" w:color="auto" w:sz="4" w:space="0"/>
              <w:right w:val="single" w:color="auto" w:sz="4" w:space="0"/>
            </w:tcBorders>
            <w:noWrap w:val="0"/>
            <w:vAlign w:val="center"/>
          </w:tcPr>
          <w:p w14:paraId="5F884093">
            <w:pPr>
              <w:pStyle w:val="74"/>
              <w:snapToGrid w:val="0"/>
              <w:spacing w:before="120" w:beforeLines="50" w:after="120" w:afterLines="50"/>
              <w:jc w:val="center"/>
              <w:rPr>
                <w:rFonts w:ascii="仿宋" w:hAnsi="仿宋" w:eastAsia="仿宋"/>
                <w:b/>
                <w:color w:val="auto"/>
                <w:sz w:val="24"/>
                <w:lang w:eastAsia="zh-CN"/>
              </w:rPr>
            </w:pPr>
            <w:r>
              <w:rPr>
                <w:rFonts w:ascii="仿宋" w:hAnsi="仿宋" w:eastAsia="仿宋"/>
                <w:b/>
                <w:color w:val="auto"/>
                <w:sz w:val="24"/>
                <w:lang w:eastAsia="zh-CN"/>
              </w:rPr>
              <w:t>100</w:t>
            </w:r>
          </w:p>
        </w:tc>
      </w:tr>
    </w:tbl>
    <w:p w14:paraId="6ABABC8E">
      <w:pPr>
        <w:rPr>
          <w:rFonts w:hint="eastAsia" w:ascii="仿宋" w:hAnsi="仿宋" w:eastAsia="仿宋"/>
        </w:rPr>
      </w:pPr>
    </w:p>
    <w:p w14:paraId="32F14F1C">
      <w:pPr>
        <w:pStyle w:val="2"/>
        <w:adjustRightInd w:val="0"/>
        <w:snapToGrid w:val="0"/>
        <w:spacing w:before="240" w:beforeLines="0" w:afterLines="0" w:line="360" w:lineRule="auto"/>
        <w:rPr>
          <w:rFonts w:hint="eastAsia" w:ascii="仿宋" w:hAnsi="仿宋" w:eastAsia="仿宋"/>
          <w:sz w:val="32"/>
          <w:szCs w:val="32"/>
        </w:rPr>
      </w:pPr>
      <w:bookmarkStart w:id="15" w:name="_Toc481314000"/>
      <w:bookmarkStart w:id="16" w:name="_Toc530340400"/>
      <w:bookmarkStart w:id="17" w:name="_Toc9884"/>
      <w:r>
        <w:rPr>
          <w:rFonts w:hint="eastAsia" w:ascii="仿宋" w:hAnsi="仿宋" w:eastAsia="仿宋"/>
          <w:sz w:val="32"/>
          <w:szCs w:val="32"/>
        </w:rPr>
        <w:t>2</w:t>
      </w:r>
      <w:r>
        <w:rPr>
          <w:rFonts w:ascii="仿宋" w:hAnsi="仿宋" w:eastAsia="仿宋"/>
          <w:sz w:val="32"/>
          <w:szCs w:val="32"/>
        </w:rPr>
        <w:t>.</w:t>
      </w:r>
      <w:r>
        <w:rPr>
          <w:rFonts w:hint="eastAsia" w:ascii="仿宋" w:hAnsi="仿宋" w:eastAsia="仿宋"/>
          <w:sz w:val="32"/>
          <w:szCs w:val="32"/>
        </w:rPr>
        <w:t>竞赛项目</w:t>
      </w:r>
      <w:bookmarkEnd w:id="15"/>
      <w:bookmarkEnd w:id="16"/>
      <w:bookmarkEnd w:id="17"/>
    </w:p>
    <w:p w14:paraId="440C370F">
      <w:pPr>
        <w:pStyle w:val="3"/>
        <w:adjustRightInd w:val="0"/>
        <w:snapToGrid w:val="0"/>
        <w:spacing w:line="360" w:lineRule="auto"/>
        <w:rPr>
          <w:rFonts w:hint="eastAsia" w:ascii="仿宋" w:hAnsi="仿宋" w:eastAsia="仿宋"/>
          <w:sz w:val="30"/>
          <w:szCs w:val="30"/>
        </w:rPr>
      </w:pPr>
      <w:bookmarkStart w:id="18" w:name="_Toc9515"/>
      <w:bookmarkStart w:id="19" w:name="_Toc530340406"/>
      <w:bookmarkStart w:id="20" w:name="_Toc481314001"/>
      <w:bookmarkStart w:id="21" w:name="_Toc530340401"/>
      <w:r>
        <w:rPr>
          <w:rFonts w:hint="eastAsia" w:ascii="仿宋" w:hAnsi="仿宋" w:eastAsia="仿宋"/>
          <w:sz w:val="30"/>
          <w:szCs w:val="30"/>
        </w:rPr>
        <w:t>2</w:t>
      </w:r>
      <w:r>
        <w:rPr>
          <w:rFonts w:ascii="仿宋" w:hAnsi="仿宋" w:eastAsia="仿宋"/>
          <w:sz w:val="30"/>
          <w:szCs w:val="30"/>
        </w:rPr>
        <w:t>.</w:t>
      </w:r>
      <w:r>
        <w:rPr>
          <w:rFonts w:hint="eastAsia" w:ascii="仿宋" w:hAnsi="仿宋" w:eastAsia="仿宋"/>
          <w:sz w:val="30"/>
          <w:szCs w:val="30"/>
        </w:rPr>
        <w:t>1竞赛时间及地点安排</w:t>
      </w:r>
      <w:bookmarkEnd w:id="18"/>
      <w:bookmarkEnd w:id="19"/>
    </w:p>
    <w:p w14:paraId="69570D10">
      <w:pPr>
        <w:adjustRightInd w:val="0"/>
        <w:snapToGrid w:val="0"/>
        <w:spacing w:line="360" w:lineRule="auto"/>
        <w:ind w:firstLine="630"/>
        <w:rPr>
          <w:rFonts w:hint="eastAsia" w:ascii="仿宋" w:hAnsi="仿宋" w:eastAsia="仿宋" w:cs="宋体"/>
          <w:bCs/>
          <w:sz w:val="28"/>
          <w:szCs w:val="28"/>
          <w:highlight w:val="none"/>
          <w:lang w:val="zh-CN"/>
        </w:rPr>
      </w:pPr>
      <w:r>
        <w:rPr>
          <w:rFonts w:hint="eastAsia" w:ascii="仿宋" w:hAnsi="仿宋" w:eastAsia="仿宋"/>
          <w:bCs/>
          <w:kern w:val="0"/>
          <w:sz w:val="28"/>
          <w:szCs w:val="28"/>
        </w:rPr>
        <w:t>本赛项</w:t>
      </w:r>
      <w:r>
        <w:rPr>
          <w:rFonts w:hint="eastAsia" w:ascii="仿宋" w:hAnsi="仿宋" w:eastAsia="仿宋" w:cs="宋体"/>
          <w:bCs/>
          <w:sz w:val="28"/>
          <w:szCs w:val="28"/>
          <w:lang w:val="zh-CN"/>
        </w:rPr>
        <w:t>竞赛时间</w:t>
      </w:r>
      <w:r>
        <w:rPr>
          <w:rFonts w:hint="eastAsia" w:ascii="仿宋" w:hAnsi="仿宋" w:eastAsia="仿宋" w:cs="宋体"/>
          <w:bCs/>
          <w:sz w:val="28"/>
          <w:szCs w:val="28"/>
          <w:highlight w:val="none"/>
          <w:lang w:val="zh-CN"/>
        </w:rPr>
        <w:t>为：</w:t>
      </w:r>
      <w:r>
        <w:rPr>
          <w:rFonts w:hint="eastAsia" w:ascii="仿宋" w:hAnsi="仿宋" w:eastAsia="仿宋" w:cs="宋体"/>
          <w:bCs/>
          <w:sz w:val="28"/>
          <w:szCs w:val="28"/>
          <w:highlight w:val="yellow"/>
          <w:lang w:val="zh-CN"/>
        </w:rPr>
        <w:t>2026年</w:t>
      </w:r>
      <w:r>
        <w:rPr>
          <w:rFonts w:hint="eastAsia" w:ascii="仿宋" w:hAnsi="仿宋" w:eastAsia="仿宋" w:cs="宋体"/>
          <w:bCs/>
          <w:sz w:val="28"/>
          <w:szCs w:val="28"/>
          <w:highlight w:val="yellow"/>
          <w:lang w:val="en-US" w:eastAsia="zh-CN"/>
        </w:rPr>
        <w:t>12</w:t>
      </w:r>
      <w:r>
        <w:rPr>
          <w:rFonts w:hint="eastAsia" w:ascii="仿宋" w:hAnsi="仿宋" w:eastAsia="仿宋" w:cs="宋体"/>
          <w:bCs/>
          <w:sz w:val="28"/>
          <w:szCs w:val="28"/>
          <w:highlight w:val="yellow"/>
          <w:lang w:val="zh-CN"/>
        </w:rPr>
        <w:t>月</w:t>
      </w:r>
      <w:r>
        <w:rPr>
          <w:rFonts w:hint="eastAsia" w:ascii="仿宋" w:hAnsi="仿宋" w:eastAsia="仿宋" w:cs="宋体"/>
          <w:bCs/>
          <w:sz w:val="28"/>
          <w:szCs w:val="28"/>
          <w:highlight w:val="yellow"/>
          <w:lang w:val="en-US" w:eastAsia="zh-CN"/>
        </w:rPr>
        <w:t>1-2</w:t>
      </w:r>
      <w:r>
        <w:rPr>
          <w:rFonts w:hint="eastAsia" w:ascii="仿宋" w:hAnsi="仿宋" w:eastAsia="仿宋" w:cs="宋体"/>
          <w:bCs/>
          <w:sz w:val="28"/>
          <w:szCs w:val="28"/>
          <w:highlight w:val="yellow"/>
          <w:lang w:val="zh-CN"/>
        </w:rPr>
        <w:t>日</w:t>
      </w:r>
      <w:r>
        <w:rPr>
          <w:rFonts w:hint="eastAsia" w:ascii="仿宋" w:hAnsi="仿宋" w:eastAsia="仿宋" w:cs="宋体"/>
          <w:bCs/>
          <w:sz w:val="28"/>
          <w:szCs w:val="28"/>
          <w:highlight w:val="none"/>
          <w:lang w:val="zh-CN"/>
        </w:rPr>
        <w:t>，竞赛地点：中山市利达莱纺织制衣有限公司。完整竞赛日程、检录时间、工位抽签安排于赛前</w:t>
      </w:r>
      <w:r>
        <w:rPr>
          <w:rFonts w:hint="eastAsia" w:ascii="仿宋" w:hAnsi="仿宋" w:eastAsia="仿宋" w:cs="宋体"/>
          <w:bCs/>
          <w:sz w:val="28"/>
          <w:szCs w:val="28"/>
          <w:highlight w:val="none"/>
          <w:lang w:val="en-US" w:eastAsia="zh-CN"/>
        </w:rPr>
        <w:t>15</w:t>
      </w:r>
      <w:r>
        <w:rPr>
          <w:rFonts w:hint="eastAsia" w:ascii="仿宋" w:hAnsi="仿宋" w:eastAsia="仿宋" w:cs="宋体"/>
          <w:bCs/>
          <w:sz w:val="28"/>
          <w:szCs w:val="28"/>
          <w:highlight w:val="none"/>
          <w:lang w:val="zh-CN"/>
        </w:rPr>
        <w:t>天在赛项微信交流群正式发布。</w:t>
      </w:r>
    </w:p>
    <w:p w14:paraId="6F5F170A">
      <w:pPr>
        <w:adjustRightInd w:val="0"/>
        <w:snapToGrid w:val="0"/>
        <w:spacing w:line="360" w:lineRule="auto"/>
        <w:ind w:firstLine="630"/>
        <w:rPr>
          <w:rFonts w:hint="eastAsia" w:ascii="仿宋" w:hAnsi="仿宋" w:eastAsia="仿宋" w:cs="仿宋"/>
          <w:color w:val="000000"/>
          <w:kern w:val="0"/>
          <w:sz w:val="28"/>
          <w:szCs w:val="28"/>
          <w:highlight w:val="none"/>
          <w:lang w:bidi="ar"/>
        </w:rPr>
      </w:pPr>
      <w:r>
        <w:rPr>
          <w:rFonts w:hint="eastAsia" w:ascii="仿宋" w:hAnsi="仿宋" w:eastAsia="仿宋" w:cs="仿宋"/>
          <w:color w:val="000000"/>
          <w:kern w:val="0"/>
          <w:sz w:val="28"/>
          <w:szCs w:val="28"/>
          <w:highlight w:val="none"/>
          <w:lang w:bidi="ar"/>
        </w:rPr>
        <w:t>单人赛；报名人数＞</w:t>
      </w:r>
      <w:r>
        <w:rPr>
          <w:rFonts w:hint="eastAsia" w:ascii="仿宋" w:hAnsi="仿宋" w:eastAsia="仿宋" w:cs="仿宋"/>
          <w:color w:val="000000"/>
          <w:kern w:val="0"/>
          <w:sz w:val="28"/>
          <w:szCs w:val="28"/>
          <w:highlight w:val="none"/>
          <w:lang w:val="en-US" w:eastAsia="zh-CN" w:bidi="ar"/>
        </w:rPr>
        <w:t>60</w:t>
      </w:r>
      <w:r>
        <w:rPr>
          <w:rFonts w:hint="eastAsia" w:ascii="仿宋" w:hAnsi="仿宋" w:eastAsia="仿宋" w:cs="仿宋"/>
          <w:color w:val="000000"/>
          <w:kern w:val="0"/>
          <w:sz w:val="28"/>
          <w:szCs w:val="28"/>
          <w:highlight w:val="none"/>
          <w:lang w:bidi="ar"/>
        </w:rPr>
        <w:t>人设置初赛（仅理论模块），初赛理论成绩前</w:t>
      </w:r>
      <w:r>
        <w:rPr>
          <w:rFonts w:hint="eastAsia" w:ascii="仿宋" w:hAnsi="仿宋" w:eastAsia="仿宋" w:cs="仿宋"/>
          <w:color w:val="000000"/>
          <w:kern w:val="0"/>
          <w:sz w:val="28"/>
          <w:szCs w:val="28"/>
          <w:highlight w:val="none"/>
          <w:lang w:val="en-US" w:eastAsia="zh-CN" w:bidi="ar"/>
        </w:rPr>
        <w:t>60</w:t>
      </w:r>
      <w:r>
        <w:rPr>
          <w:rFonts w:hint="eastAsia" w:ascii="仿宋" w:hAnsi="仿宋" w:eastAsia="仿宋" w:cs="仿宋"/>
          <w:color w:val="000000"/>
          <w:kern w:val="0"/>
          <w:sz w:val="28"/>
          <w:szCs w:val="28"/>
          <w:highlight w:val="none"/>
          <w:lang w:bidi="ar"/>
        </w:rPr>
        <w:t>名晋级决赛；报名≤</w:t>
      </w:r>
      <w:r>
        <w:rPr>
          <w:rFonts w:hint="eastAsia" w:ascii="仿宋" w:hAnsi="仿宋" w:eastAsia="仿宋" w:cs="仿宋"/>
          <w:color w:val="000000"/>
          <w:kern w:val="0"/>
          <w:sz w:val="28"/>
          <w:szCs w:val="28"/>
          <w:highlight w:val="none"/>
          <w:lang w:val="en-US" w:eastAsia="zh-CN" w:bidi="ar"/>
        </w:rPr>
        <w:t>60</w:t>
      </w:r>
      <w:r>
        <w:rPr>
          <w:rFonts w:hint="eastAsia" w:ascii="仿宋" w:hAnsi="仿宋" w:eastAsia="仿宋" w:cs="仿宋"/>
          <w:color w:val="000000"/>
          <w:kern w:val="0"/>
          <w:sz w:val="28"/>
          <w:szCs w:val="28"/>
          <w:highlight w:val="none"/>
          <w:lang w:bidi="ar"/>
        </w:rPr>
        <w:t>人全部直接进入决赛。</w:t>
      </w:r>
    </w:p>
    <w:p w14:paraId="3871CBEB">
      <w:pPr>
        <w:pStyle w:val="3"/>
        <w:adjustRightInd w:val="0"/>
        <w:snapToGrid w:val="0"/>
        <w:spacing w:line="360" w:lineRule="auto"/>
        <w:rPr>
          <w:rFonts w:hint="eastAsia" w:ascii="仿宋" w:hAnsi="仿宋" w:eastAsia="仿宋"/>
          <w:sz w:val="28"/>
          <w:szCs w:val="28"/>
          <w:highlight w:val="none"/>
          <w:lang w:eastAsia="zh-CN"/>
        </w:rPr>
      </w:pPr>
      <w:bookmarkStart w:id="22" w:name="_Toc30968"/>
      <w:r>
        <w:rPr>
          <w:rFonts w:hint="eastAsia" w:ascii="仿宋" w:hAnsi="仿宋" w:eastAsia="仿宋"/>
          <w:sz w:val="28"/>
          <w:szCs w:val="28"/>
          <w:highlight w:val="none"/>
        </w:rPr>
        <w:t>2</w:t>
      </w:r>
      <w:r>
        <w:rPr>
          <w:rFonts w:ascii="仿宋" w:hAnsi="仿宋" w:eastAsia="仿宋"/>
          <w:sz w:val="28"/>
          <w:szCs w:val="28"/>
          <w:highlight w:val="none"/>
        </w:rPr>
        <w:t>.</w:t>
      </w:r>
      <w:r>
        <w:rPr>
          <w:rFonts w:hint="eastAsia" w:ascii="仿宋" w:hAnsi="仿宋" w:eastAsia="仿宋"/>
          <w:sz w:val="28"/>
          <w:szCs w:val="28"/>
          <w:highlight w:val="none"/>
        </w:rPr>
        <w:t>2竞赛模块</w:t>
      </w:r>
      <w:bookmarkEnd w:id="20"/>
      <w:bookmarkEnd w:id="21"/>
      <w:bookmarkEnd w:id="22"/>
    </w:p>
    <w:p w14:paraId="37098F1B">
      <w:pPr>
        <w:tabs>
          <w:tab w:val="left" w:pos="5162"/>
        </w:tabs>
        <w:spacing w:line="360" w:lineRule="auto"/>
        <w:ind w:firstLine="560" w:firstLineChars="200"/>
        <w:rPr>
          <w:rFonts w:hint="eastAsia" w:ascii="仿宋" w:hAnsi="仿宋" w:eastAsia="仿宋"/>
          <w:sz w:val="28"/>
          <w:szCs w:val="28"/>
          <w:highlight w:val="none"/>
        </w:rPr>
      </w:pPr>
      <w:bookmarkStart w:id="23" w:name="_Toc481314002"/>
      <w:bookmarkStart w:id="24" w:name="_Toc530340402"/>
      <w:r>
        <w:rPr>
          <w:rFonts w:eastAsia="仿宋"/>
          <w:sz w:val="28"/>
          <w:szCs w:val="28"/>
          <w:highlight w:val="none"/>
        </w:rPr>
        <w:t>本赛项当报名人数超过</w:t>
      </w:r>
      <w:r>
        <w:rPr>
          <w:rFonts w:hint="eastAsia" w:eastAsia="仿宋"/>
          <w:sz w:val="28"/>
          <w:szCs w:val="28"/>
          <w:highlight w:val="none"/>
          <w:lang w:val="en-US" w:eastAsia="zh-CN"/>
        </w:rPr>
        <w:t>60</w:t>
      </w:r>
      <w:r>
        <w:rPr>
          <w:rFonts w:eastAsia="仿宋"/>
          <w:sz w:val="28"/>
          <w:szCs w:val="28"/>
          <w:highlight w:val="none"/>
        </w:rPr>
        <w:t>人（或组）时，需进行初赛—理论模块考核，理论成绩排名在前</w:t>
      </w:r>
      <w:r>
        <w:rPr>
          <w:rFonts w:hint="eastAsia" w:eastAsia="仿宋"/>
          <w:sz w:val="28"/>
          <w:szCs w:val="28"/>
          <w:highlight w:val="none"/>
          <w:lang w:val="en-US" w:eastAsia="zh-CN"/>
        </w:rPr>
        <w:t>60</w:t>
      </w:r>
      <w:r>
        <w:rPr>
          <w:rFonts w:eastAsia="仿宋"/>
          <w:sz w:val="28"/>
          <w:szCs w:val="28"/>
          <w:highlight w:val="none"/>
        </w:rPr>
        <w:t>的选手进入决赛参加考核。若报名人数少于</w:t>
      </w:r>
      <w:r>
        <w:rPr>
          <w:rFonts w:hint="eastAsia" w:eastAsia="仿宋"/>
          <w:sz w:val="28"/>
          <w:szCs w:val="28"/>
          <w:highlight w:val="none"/>
          <w:lang w:eastAsia="zh-CN"/>
        </w:rPr>
        <w:t>等于</w:t>
      </w:r>
      <w:r>
        <w:rPr>
          <w:rFonts w:hint="eastAsia" w:eastAsia="仿宋"/>
          <w:sz w:val="28"/>
          <w:szCs w:val="28"/>
          <w:highlight w:val="none"/>
          <w:lang w:val="en-US" w:eastAsia="zh-CN"/>
        </w:rPr>
        <w:t>60</w:t>
      </w:r>
      <w:r>
        <w:rPr>
          <w:rFonts w:eastAsia="仿宋"/>
          <w:sz w:val="28"/>
          <w:szCs w:val="28"/>
          <w:highlight w:val="none"/>
        </w:rPr>
        <w:t>人（或组）时，所有选手直接进入决赛考核。</w:t>
      </w:r>
    </w:p>
    <w:p w14:paraId="1B48851D">
      <w:pPr>
        <w:tabs>
          <w:tab w:val="left" w:pos="5162"/>
        </w:tabs>
        <w:jc w:val="center"/>
        <w:rPr>
          <w:rFonts w:hint="eastAsia" w:ascii="仿宋" w:hAnsi="仿宋" w:eastAsia="仿宋"/>
          <w:color w:val="auto"/>
          <w:sz w:val="24"/>
        </w:rPr>
      </w:pPr>
      <w:r>
        <w:rPr>
          <w:rFonts w:hint="eastAsia" w:ascii="仿宋" w:hAnsi="仿宋" w:eastAsia="仿宋"/>
          <w:color w:val="auto"/>
          <w:sz w:val="24"/>
        </w:rPr>
        <w:t>考核内容及权重表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0"/>
        <w:gridCol w:w="1650"/>
        <w:gridCol w:w="1659"/>
        <w:gridCol w:w="1186"/>
        <w:gridCol w:w="1221"/>
        <w:gridCol w:w="1388"/>
      </w:tblGrid>
      <w:tr w14:paraId="6A9F5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blHeader/>
          <w:jc w:val="center"/>
        </w:trPr>
        <w:tc>
          <w:tcPr>
            <w:tcW w:w="1650" w:type="dxa"/>
            <w:vAlign w:val="center"/>
          </w:tcPr>
          <w:p w14:paraId="5C4D1190">
            <w:pPr>
              <w:tabs>
                <w:tab w:val="left" w:pos="6120"/>
              </w:tabs>
              <w:jc w:val="center"/>
              <w:rPr>
                <w:rFonts w:hint="eastAsia" w:ascii="仿宋" w:hAnsi="仿宋" w:eastAsia="仿宋" w:cs="方正仿宋_GB2312"/>
                <w:b/>
                <w:color w:val="auto"/>
                <w:sz w:val="24"/>
              </w:rPr>
            </w:pPr>
            <w:r>
              <w:rPr>
                <w:rFonts w:ascii="仿宋" w:hAnsi="仿宋" w:eastAsia="仿宋" w:cs="方正仿宋_GB2312"/>
                <w:b/>
                <w:color w:val="auto"/>
                <w:sz w:val="24"/>
              </w:rPr>
              <w:t>考核模块</w:t>
            </w:r>
          </w:p>
        </w:tc>
        <w:tc>
          <w:tcPr>
            <w:tcW w:w="1650" w:type="dxa"/>
            <w:vAlign w:val="center"/>
          </w:tcPr>
          <w:p w14:paraId="53D1592E">
            <w:pPr>
              <w:tabs>
                <w:tab w:val="left" w:pos="6120"/>
              </w:tabs>
              <w:spacing w:line="276" w:lineRule="auto"/>
              <w:jc w:val="center"/>
              <w:rPr>
                <w:rFonts w:hint="eastAsia" w:ascii="仿宋" w:hAnsi="仿宋" w:eastAsia="仿宋" w:cs="方正仿宋_GB2312"/>
                <w:b/>
                <w:color w:val="auto"/>
                <w:sz w:val="24"/>
              </w:rPr>
            </w:pPr>
            <w:r>
              <w:rPr>
                <w:rFonts w:ascii="仿宋" w:hAnsi="仿宋" w:eastAsia="仿宋" w:cs="方正仿宋_GB2312"/>
                <w:b/>
                <w:color w:val="auto"/>
                <w:sz w:val="24"/>
              </w:rPr>
              <w:t>内容</w:t>
            </w:r>
          </w:p>
        </w:tc>
        <w:tc>
          <w:tcPr>
            <w:tcW w:w="1659" w:type="dxa"/>
            <w:vAlign w:val="center"/>
          </w:tcPr>
          <w:p w14:paraId="195F3C0A">
            <w:pPr>
              <w:tabs>
                <w:tab w:val="left" w:pos="6120"/>
              </w:tabs>
              <w:jc w:val="center"/>
              <w:rPr>
                <w:rFonts w:hint="eastAsia" w:ascii="仿宋" w:hAnsi="仿宋" w:eastAsia="仿宋" w:cs="方正仿宋_GB2312"/>
                <w:b/>
                <w:color w:val="auto"/>
                <w:sz w:val="24"/>
              </w:rPr>
            </w:pPr>
            <w:r>
              <w:rPr>
                <w:rFonts w:hint="eastAsia" w:ascii="仿宋" w:hAnsi="仿宋" w:eastAsia="仿宋" w:cs="方正仿宋_GB2312"/>
                <w:b/>
                <w:color w:val="auto"/>
                <w:sz w:val="24"/>
              </w:rPr>
              <w:t>时间分配</w:t>
            </w:r>
          </w:p>
        </w:tc>
        <w:tc>
          <w:tcPr>
            <w:tcW w:w="1186" w:type="dxa"/>
            <w:vAlign w:val="center"/>
          </w:tcPr>
          <w:p w14:paraId="1F3E62D3">
            <w:pPr>
              <w:tabs>
                <w:tab w:val="left" w:pos="6120"/>
              </w:tabs>
              <w:jc w:val="center"/>
              <w:rPr>
                <w:rFonts w:hint="eastAsia" w:ascii="仿宋" w:hAnsi="仿宋" w:eastAsia="仿宋" w:cs="方正仿宋_GB2312"/>
                <w:b/>
                <w:color w:val="auto"/>
                <w:sz w:val="24"/>
              </w:rPr>
            </w:pPr>
            <w:r>
              <w:rPr>
                <w:rFonts w:hint="eastAsia" w:ascii="仿宋" w:hAnsi="仿宋" w:eastAsia="仿宋" w:cs="方正仿宋_GB2312"/>
                <w:b/>
                <w:color w:val="auto"/>
                <w:sz w:val="24"/>
              </w:rPr>
              <w:t>分值</w:t>
            </w:r>
          </w:p>
        </w:tc>
        <w:tc>
          <w:tcPr>
            <w:tcW w:w="1221" w:type="dxa"/>
            <w:vAlign w:val="center"/>
          </w:tcPr>
          <w:p w14:paraId="24689816">
            <w:pPr>
              <w:tabs>
                <w:tab w:val="left" w:pos="6120"/>
              </w:tabs>
              <w:jc w:val="center"/>
              <w:rPr>
                <w:rFonts w:hint="eastAsia" w:ascii="仿宋" w:hAnsi="仿宋" w:eastAsia="仿宋" w:cs="方正仿宋_GB2312"/>
                <w:b/>
                <w:color w:val="auto"/>
                <w:sz w:val="24"/>
              </w:rPr>
            </w:pPr>
            <w:r>
              <w:rPr>
                <w:rFonts w:hint="eastAsia" w:ascii="仿宋" w:hAnsi="仿宋" w:eastAsia="仿宋" w:cs="方正仿宋_GB2312"/>
                <w:b/>
                <w:color w:val="auto"/>
                <w:sz w:val="24"/>
              </w:rPr>
              <w:t>权重</w:t>
            </w:r>
          </w:p>
        </w:tc>
        <w:tc>
          <w:tcPr>
            <w:tcW w:w="1388" w:type="dxa"/>
            <w:vAlign w:val="center"/>
          </w:tcPr>
          <w:p w14:paraId="7073FC66">
            <w:pPr>
              <w:tabs>
                <w:tab w:val="left" w:pos="6120"/>
              </w:tabs>
              <w:jc w:val="center"/>
              <w:rPr>
                <w:rFonts w:hint="eastAsia" w:ascii="仿宋" w:hAnsi="仿宋" w:eastAsia="仿宋" w:cs="方正仿宋_GB2312"/>
                <w:b/>
                <w:color w:val="auto"/>
                <w:sz w:val="24"/>
              </w:rPr>
            </w:pPr>
            <w:r>
              <w:rPr>
                <w:rFonts w:hint="eastAsia" w:ascii="仿宋" w:hAnsi="仿宋" w:eastAsia="仿宋" w:cs="方正仿宋_GB2312"/>
                <w:b/>
                <w:color w:val="auto"/>
                <w:sz w:val="24"/>
              </w:rPr>
              <w:t>折算分值</w:t>
            </w:r>
          </w:p>
        </w:tc>
      </w:tr>
      <w:tr w14:paraId="6FD4B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650" w:type="dxa"/>
            <w:vAlign w:val="center"/>
          </w:tcPr>
          <w:p w14:paraId="40577F67">
            <w:pPr>
              <w:tabs>
                <w:tab w:val="left" w:pos="6120"/>
              </w:tabs>
              <w:jc w:val="center"/>
              <w:rPr>
                <w:rFonts w:hint="eastAsia" w:ascii="仿宋" w:hAnsi="仿宋" w:eastAsia="仿宋" w:cs="方正仿宋_GB2312"/>
                <w:color w:val="auto"/>
                <w:sz w:val="24"/>
              </w:rPr>
            </w:pPr>
            <w:r>
              <w:rPr>
                <w:rFonts w:hint="eastAsia" w:ascii="仿宋" w:hAnsi="仿宋" w:eastAsia="仿宋" w:cs="方正仿宋_GB2312"/>
                <w:color w:val="auto"/>
                <w:sz w:val="24"/>
              </w:rPr>
              <w:t>实操模块A</w:t>
            </w:r>
          </w:p>
        </w:tc>
        <w:tc>
          <w:tcPr>
            <w:tcW w:w="1650" w:type="dxa"/>
            <w:vAlign w:val="center"/>
          </w:tcPr>
          <w:p w14:paraId="4A426998">
            <w:pPr>
              <w:tabs>
                <w:tab w:val="left" w:pos="6120"/>
              </w:tabs>
              <w:jc w:val="center"/>
              <w:rPr>
                <w:rFonts w:hint="eastAsia" w:ascii="仿宋" w:hAnsi="仿宋" w:eastAsia="仿宋" w:cs="方正仿宋_GB2312"/>
                <w:color w:val="auto"/>
                <w:sz w:val="24"/>
              </w:rPr>
            </w:pPr>
            <w:r>
              <w:rPr>
                <w:rFonts w:hint="eastAsia" w:ascii="仿宋" w:hAnsi="仿宋" w:eastAsia="仿宋" w:cs="方正仿宋_GB2312"/>
                <w:color w:val="auto"/>
                <w:sz w:val="24"/>
              </w:rPr>
              <w:t>面料识别、分检分色、化料配制标准化作业</w:t>
            </w:r>
          </w:p>
        </w:tc>
        <w:tc>
          <w:tcPr>
            <w:tcW w:w="1659" w:type="dxa"/>
            <w:vAlign w:val="center"/>
          </w:tcPr>
          <w:p w14:paraId="03CA3BE6">
            <w:pPr>
              <w:tabs>
                <w:tab w:val="left" w:pos="6120"/>
              </w:tabs>
              <w:jc w:val="center"/>
              <w:rPr>
                <w:rFonts w:hint="eastAsia" w:ascii="仿宋" w:hAnsi="仿宋" w:eastAsia="仿宋" w:cs="方正仿宋_GB2312"/>
                <w:color w:val="auto"/>
                <w:sz w:val="24"/>
              </w:rPr>
            </w:pPr>
            <w:r>
              <w:rPr>
                <w:rFonts w:hint="eastAsia" w:ascii="仿宋" w:hAnsi="仿宋" w:eastAsia="仿宋" w:cs="方正仿宋_GB2312"/>
                <w:color w:val="auto"/>
                <w:sz w:val="24"/>
                <w:lang w:val="en-US" w:eastAsia="zh-CN"/>
              </w:rPr>
              <w:t>3</w:t>
            </w:r>
            <w:r>
              <w:rPr>
                <w:rFonts w:hint="eastAsia" w:ascii="仿宋" w:hAnsi="仿宋" w:eastAsia="仿宋" w:cs="方正仿宋_GB2312"/>
                <w:color w:val="auto"/>
                <w:sz w:val="24"/>
              </w:rPr>
              <w:t>0分钟</w:t>
            </w:r>
          </w:p>
        </w:tc>
        <w:tc>
          <w:tcPr>
            <w:tcW w:w="1186" w:type="dxa"/>
            <w:vAlign w:val="center"/>
          </w:tcPr>
          <w:p w14:paraId="2950A193">
            <w:pPr>
              <w:tabs>
                <w:tab w:val="left" w:pos="6120"/>
              </w:tabs>
              <w:jc w:val="center"/>
              <w:rPr>
                <w:rFonts w:hint="eastAsia" w:ascii="仿宋" w:hAnsi="仿宋" w:eastAsia="仿宋" w:cs="方正仿宋_GB2312"/>
                <w:color w:val="auto"/>
                <w:sz w:val="24"/>
              </w:rPr>
            </w:pPr>
            <w:r>
              <w:rPr>
                <w:rFonts w:hint="eastAsia" w:ascii="仿宋" w:hAnsi="仿宋" w:eastAsia="仿宋" w:cs="方正仿宋_GB2312"/>
                <w:color w:val="auto"/>
                <w:sz w:val="24"/>
              </w:rPr>
              <w:t>100分</w:t>
            </w:r>
          </w:p>
        </w:tc>
        <w:tc>
          <w:tcPr>
            <w:tcW w:w="1221" w:type="dxa"/>
            <w:vAlign w:val="center"/>
          </w:tcPr>
          <w:p w14:paraId="6364A243">
            <w:pPr>
              <w:tabs>
                <w:tab w:val="left" w:pos="6120"/>
              </w:tabs>
              <w:jc w:val="center"/>
              <w:rPr>
                <w:rFonts w:hint="eastAsia" w:ascii="仿宋" w:hAnsi="仿宋" w:eastAsia="仿宋" w:cs="方正仿宋_GB2312"/>
                <w:color w:val="auto"/>
                <w:sz w:val="24"/>
              </w:rPr>
            </w:pPr>
            <w:r>
              <w:rPr>
                <w:rFonts w:hint="eastAsia" w:ascii="仿宋" w:hAnsi="仿宋" w:eastAsia="仿宋" w:cs="方正仿宋_GB2312"/>
                <w:color w:val="auto"/>
                <w:sz w:val="24"/>
                <w:lang w:val="en-US" w:eastAsia="zh-CN"/>
              </w:rPr>
              <w:t>3</w:t>
            </w:r>
            <w:r>
              <w:rPr>
                <w:rFonts w:hint="eastAsia" w:ascii="仿宋" w:hAnsi="仿宋" w:eastAsia="仿宋" w:cs="方正仿宋_GB2312"/>
                <w:color w:val="auto"/>
                <w:sz w:val="24"/>
              </w:rPr>
              <w:t>0%</w:t>
            </w:r>
          </w:p>
        </w:tc>
        <w:tc>
          <w:tcPr>
            <w:tcW w:w="1388" w:type="dxa"/>
            <w:vAlign w:val="center"/>
          </w:tcPr>
          <w:p w14:paraId="37340717">
            <w:pPr>
              <w:tabs>
                <w:tab w:val="left" w:pos="6120"/>
              </w:tabs>
              <w:jc w:val="center"/>
              <w:rPr>
                <w:rFonts w:hint="eastAsia" w:ascii="仿宋" w:hAnsi="仿宋" w:eastAsia="仿宋" w:cs="方正仿宋_GB2312"/>
                <w:color w:val="auto"/>
                <w:sz w:val="24"/>
              </w:rPr>
            </w:pPr>
            <w:r>
              <w:rPr>
                <w:rFonts w:hint="eastAsia" w:ascii="仿宋" w:hAnsi="仿宋" w:eastAsia="仿宋" w:cs="方正仿宋_GB2312"/>
                <w:color w:val="auto"/>
                <w:sz w:val="24"/>
                <w:lang w:val="en-US" w:eastAsia="zh-CN"/>
              </w:rPr>
              <w:t>3</w:t>
            </w:r>
            <w:r>
              <w:rPr>
                <w:rFonts w:hint="eastAsia" w:ascii="仿宋" w:hAnsi="仿宋" w:eastAsia="仿宋" w:cs="方正仿宋_GB2312"/>
                <w:color w:val="auto"/>
                <w:sz w:val="24"/>
              </w:rPr>
              <w:t>0分</w:t>
            </w:r>
          </w:p>
        </w:tc>
      </w:tr>
      <w:tr w14:paraId="652A5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650" w:type="dxa"/>
            <w:vAlign w:val="center"/>
          </w:tcPr>
          <w:p w14:paraId="73D0F3A1">
            <w:pPr>
              <w:tabs>
                <w:tab w:val="left" w:pos="6120"/>
              </w:tabs>
              <w:jc w:val="center"/>
              <w:rPr>
                <w:rFonts w:hint="eastAsia" w:ascii="仿宋" w:hAnsi="仿宋" w:eastAsia="仿宋" w:cs="方正仿宋_GB2312"/>
                <w:color w:val="auto"/>
                <w:sz w:val="24"/>
              </w:rPr>
            </w:pPr>
            <w:r>
              <w:rPr>
                <w:rFonts w:hint="eastAsia" w:ascii="仿宋" w:hAnsi="仿宋" w:eastAsia="仿宋" w:cs="方正仿宋_GB2312"/>
                <w:color w:val="auto"/>
                <w:sz w:val="24"/>
              </w:rPr>
              <w:t>实操模块B</w:t>
            </w:r>
          </w:p>
        </w:tc>
        <w:tc>
          <w:tcPr>
            <w:tcW w:w="1650" w:type="dxa"/>
            <w:shd w:val="clear" w:color="auto" w:fill="auto"/>
            <w:vAlign w:val="center"/>
          </w:tcPr>
          <w:p w14:paraId="5DF8EBA9">
            <w:pPr>
              <w:tabs>
                <w:tab w:val="left" w:pos="6120"/>
              </w:tabs>
              <w:jc w:val="center"/>
              <w:rPr>
                <w:rFonts w:hint="eastAsia" w:ascii="仿宋" w:hAnsi="仿宋" w:eastAsia="仿宋" w:cs="方正仿宋_GB2312"/>
                <w:color w:val="auto"/>
                <w:kern w:val="2"/>
                <w:sz w:val="24"/>
                <w:szCs w:val="24"/>
                <w:lang w:val="en-US" w:eastAsia="zh-CN" w:bidi="ar-SA"/>
              </w:rPr>
            </w:pPr>
            <w:r>
              <w:rPr>
                <w:rFonts w:hint="eastAsia" w:ascii="仿宋" w:hAnsi="仿宋" w:eastAsia="仿宋" w:cs="方正仿宋_GB2312"/>
                <w:color w:val="auto"/>
                <w:sz w:val="24"/>
              </w:rPr>
              <w:t>石磨洗/酵磨复合洗实操、成品</w:t>
            </w:r>
            <w:r>
              <w:rPr>
                <w:rFonts w:hint="eastAsia" w:ascii="仿宋" w:hAnsi="仿宋" w:eastAsia="仿宋" w:cs="方正仿宋_GB2312"/>
                <w:color w:val="auto"/>
                <w:sz w:val="24"/>
                <w:lang w:eastAsia="zh-CN"/>
              </w:rPr>
              <w:t>效果</w:t>
            </w:r>
          </w:p>
        </w:tc>
        <w:tc>
          <w:tcPr>
            <w:tcW w:w="1659" w:type="dxa"/>
            <w:shd w:val="clear" w:color="auto" w:fill="auto"/>
            <w:vAlign w:val="center"/>
          </w:tcPr>
          <w:p w14:paraId="3EAF7510">
            <w:pPr>
              <w:tabs>
                <w:tab w:val="left" w:pos="6120"/>
              </w:tabs>
              <w:jc w:val="center"/>
              <w:rPr>
                <w:rFonts w:hint="eastAsia" w:ascii="仿宋" w:hAnsi="仿宋" w:eastAsia="仿宋" w:cs="方正仿宋_GB2312"/>
                <w:color w:val="auto"/>
                <w:sz w:val="24"/>
                <w:lang w:val="en-US" w:eastAsia="zh-CN"/>
              </w:rPr>
            </w:pPr>
            <w:r>
              <w:rPr>
                <w:rFonts w:hint="eastAsia" w:ascii="仿宋" w:hAnsi="仿宋" w:eastAsia="仿宋" w:cs="方正仿宋_GB2312"/>
                <w:color w:val="auto"/>
                <w:sz w:val="24"/>
              </w:rPr>
              <w:t>150分钟</w:t>
            </w:r>
          </w:p>
        </w:tc>
        <w:tc>
          <w:tcPr>
            <w:tcW w:w="1186" w:type="dxa"/>
            <w:shd w:val="clear" w:color="auto" w:fill="auto"/>
            <w:vAlign w:val="center"/>
          </w:tcPr>
          <w:p w14:paraId="0179B784">
            <w:pPr>
              <w:tabs>
                <w:tab w:val="left" w:pos="6120"/>
              </w:tabs>
              <w:jc w:val="center"/>
              <w:rPr>
                <w:rFonts w:hint="eastAsia" w:ascii="仿宋" w:hAnsi="仿宋" w:eastAsia="仿宋" w:cs="方正仿宋_GB2312"/>
                <w:color w:val="auto"/>
                <w:kern w:val="2"/>
                <w:sz w:val="24"/>
                <w:szCs w:val="24"/>
                <w:lang w:val="en-US" w:eastAsia="zh-CN" w:bidi="ar-SA"/>
              </w:rPr>
            </w:pPr>
            <w:r>
              <w:rPr>
                <w:rFonts w:hint="eastAsia" w:ascii="仿宋" w:hAnsi="仿宋" w:eastAsia="仿宋" w:cs="方正仿宋_GB2312"/>
                <w:color w:val="auto"/>
                <w:sz w:val="24"/>
              </w:rPr>
              <w:t>100分</w:t>
            </w:r>
          </w:p>
        </w:tc>
        <w:tc>
          <w:tcPr>
            <w:tcW w:w="1221" w:type="dxa"/>
            <w:shd w:val="clear" w:color="auto" w:fill="auto"/>
            <w:vAlign w:val="center"/>
          </w:tcPr>
          <w:p w14:paraId="649A800F">
            <w:pPr>
              <w:tabs>
                <w:tab w:val="left" w:pos="6120"/>
              </w:tabs>
              <w:jc w:val="center"/>
              <w:rPr>
                <w:rFonts w:hint="eastAsia" w:ascii="仿宋" w:hAnsi="仿宋" w:eastAsia="仿宋" w:cs="方正仿宋_GB2312"/>
                <w:color w:val="auto"/>
                <w:kern w:val="2"/>
                <w:sz w:val="24"/>
                <w:szCs w:val="24"/>
                <w:lang w:val="en-US" w:eastAsia="zh-CN" w:bidi="ar-SA"/>
              </w:rPr>
            </w:pPr>
            <w:r>
              <w:rPr>
                <w:rFonts w:hint="eastAsia" w:ascii="仿宋" w:hAnsi="仿宋" w:eastAsia="仿宋" w:cs="方正仿宋_GB2312"/>
                <w:color w:val="auto"/>
                <w:sz w:val="24"/>
                <w:lang w:val="en-US" w:eastAsia="zh-CN"/>
              </w:rPr>
              <w:t>7</w:t>
            </w:r>
            <w:r>
              <w:rPr>
                <w:rFonts w:hint="eastAsia" w:ascii="仿宋" w:hAnsi="仿宋" w:eastAsia="仿宋" w:cs="方正仿宋_GB2312"/>
                <w:color w:val="auto"/>
                <w:sz w:val="24"/>
              </w:rPr>
              <w:t>0%</w:t>
            </w:r>
          </w:p>
        </w:tc>
        <w:tc>
          <w:tcPr>
            <w:tcW w:w="1388" w:type="dxa"/>
            <w:shd w:val="clear" w:color="auto" w:fill="auto"/>
            <w:vAlign w:val="center"/>
          </w:tcPr>
          <w:p w14:paraId="28D5208B">
            <w:pPr>
              <w:tabs>
                <w:tab w:val="left" w:pos="6120"/>
              </w:tabs>
              <w:jc w:val="center"/>
              <w:rPr>
                <w:rFonts w:hint="eastAsia" w:ascii="仿宋" w:hAnsi="仿宋" w:eastAsia="仿宋" w:cs="方正仿宋_GB2312"/>
                <w:color w:val="auto"/>
                <w:kern w:val="2"/>
                <w:sz w:val="24"/>
                <w:szCs w:val="24"/>
                <w:lang w:val="en-US" w:eastAsia="zh-CN" w:bidi="ar-SA"/>
              </w:rPr>
            </w:pPr>
            <w:r>
              <w:rPr>
                <w:rFonts w:hint="eastAsia" w:ascii="仿宋" w:hAnsi="仿宋" w:eastAsia="仿宋" w:cs="方正仿宋_GB2312"/>
                <w:color w:val="auto"/>
                <w:sz w:val="24"/>
                <w:lang w:val="en-US" w:eastAsia="zh-CN"/>
              </w:rPr>
              <w:t>7</w:t>
            </w:r>
            <w:r>
              <w:rPr>
                <w:rFonts w:hint="eastAsia" w:ascii="仿宋" w:hAnsi="仿宋" w:eastAsia="仿宋" w:cs="方正仿宋_GB2312"/>
                <w:color w:val="auto"/>
                <w:sz w:val="24"/>
              </w:rPr>
              <w:t>0分</w:t>
            </w:r>
          </w:p>
        </w:tc>
      </w:tr>
      <w:tr w14:paraId="6AACC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3300" w:type="dxa"/>
            <w:gridSpan w:val="2"/>
            <w:vAlign w:val="center"/>
          </w:tcPr>
          <w:p w14:paraId="2D1A9A7E">
            <w:pPr>
              <w:tabs>
                <w:tab w:val="left" w:pos="6120"/>
              </w:tabs>
              <w:spacing w:line="276" w:lineRule="auto"/>
              <w:jc w:val="center"/>
              <w:rPr>
                <w:rFonts w:hint="eastAsia" w:ascii="仿宋" w:hAnsi="仿宋" w:eastAsia="仿宋" w:cs="方正仿宋_GB2312"/>
                <w:color w:val="auto"/>
                <w:sz w:val="24"/>
              </w:rPr>
            </w:pPr>
            <w:r>
              <w:rPr>
                <w:rFonts w:hint="eastAsia" w:ascii="仿宋" w:hAnsi="仿宋" w:eastAsia="仿宋" w:cs="方正仿宋_GB2312"/>
                <w:color w:val="auto"/>
                <w:sz w:val="24"/>
              </w:rPr>
              <w:t>比赛总用时</w:t>
            </w:r>
          </w:p>
        </w:tc>
        <w:tc>
          <w:tcPr>
            <w:tcW w:w="1659" w:type="dxa"/>
            <w:vAlign w:val="center"/>
          </w:tcPr>
          <w:p w14:paraId="325263AE">
            <w:pPr>
              <w:tabs>
                <w:tab w:val="left" w:pos="6120"/>
              </w:tabs>
              <w:jc w:val="center"/>
              <w:rPr>
                <w:rFonts w:hint="eastAsia" w:ascii="仿宋" w:hAnsi="仿宋" w:eastAsia="仿宋" w:cs="方正仿宋_GB2312"/>
                <w:color w:val="auto"/>
                <w:sz w:val="24"/>
                <w:lang w:val="en-US" w:eastAsia="zh-CN"/>
              </w:rPr>
            </w:pPr>
            <w:r>
              <w:rPr>
                <w:rFonts w:hint="eastAsia" w:ascii="仿宋" w:hAnsi="仿宋" w:eastAsia="仿宋" w:cs="方正仿宋_GB2312"/>
                <w:color w:val="auto"/>
                <w:sz w:val="24"/>
                <w:lang w:val="en-US" w:eastAsia="zh-CN"/>
              </w:rPr>
              <w:t>180分钟</w:t>
            </w:r>
          </w:p>
        </w:tc>
        <w:tc>
          <w:tcPr>
            <w:tcW w:w="1186" w:type="dxa"/>
          </w:tcPr>
          <w:p w14:paraId="47B47800">
            <w:pPr>
              <w:tabs>
                <w:tab w:val="left" w:pos="6120"/>
              </w:tabs>
              <w:jc w:val="center"/>
              <w:rPr>
                <w:rFonts w:hint="eastAsia" w:ascii="仿宋" w:hAnsi="仿宋" w:eastAsia="仿宋" w:cs="方正仿宋_GB2312"/>
                <w:color w:val="auto"/>
                <w:sz w:val="24"/>
                <w:lang w:val="en-US" w:eastAsia="zh-CN"/>
              </w:rPr>
            </w:pPr>
            <w:r>
              <w:rPr>
                <w:rFonts w:hint="eastAsia" w:ascii="仿宋" w:hAnsi="仿宋" w:eastAsia="仿宋" w:cs="方正仿宋_GB2312"/>
                <w:color w:val="auto"/>
                <w:sz w:val="24"/>
                <w:lang w:val="en-US" w:eastAsia="zh-CN"/>
              </w:rPr>
              <w:t>/</w:t>
            </w:r>
          </w:p>
        </w:tc>
        <w:tc>
          <w:tcPr>
            <w:tcW w:w="1221" w:type="dxa"/>
          </w:tcPr>
          <w:p w14:paraId="79F21619">
            <w:pPr>
              <w:tabs>
                <w:tab w:val="left" w:pos="6120"/>
              </w:tabs>
              <w:jc w:val="center"/>
              <w:rPr>
                <w:rFonts w:hint="eastAsia" w:ascii="仿宋" w:hAnsi="仿宋" w:eastAsia="仿宋" w:cs="方正仿宋_GB2312"/>
                <w:color w:val="auto"/>
                <w:sz w:val="24"/>
                <w:lang w:val="en-US" w:eastAsia="zh-CN"/>
              </w:rPr>
            </w:pPr>
            <w:r>
              <w:rPr>
                <w:rFonts w:hint="eastAsia" w:ascii="仿宋" w:hAnsi="仿宋" w:eastAsia="仿宋" w:cs="方正仿宋_GB2312"/>
                <w:color w:val="auto"/>
                <w:sz w:val="24"/>
                <w:lang w:val="en-US" w:eastAsia="zh-CN"/>
              </w:rPr>
              <w:t>100%</w:t>
            </w:r>
          </w:p>
        </w:tc>
        <w:tc>
          <w:tcPr>
            <w:tcW w:w="1388" w:type="dxa"/>
          </w:tcPr>
          <w:p w14:paraId="23DF7612">
            <w:pPr>
              <w:tabs>
                <w:tab w:val="left" w:pos="6120"/>
              </w:tabs>
              <w:jc w:val="center"/>
              <w:rPr>
                <w:rFonts w:hint="eastAsia" w:ascii="仿宋" w:hAnsi="仿宋" w:eastAsia="仿宋" w:cs="方正仿宋_GB2312"/>
                <w:color w:val="auto"/>
                <w:sz w:val="24"/>
              </w:rPr>
            </w:pPr>
            <w:r>
              <w:rPr>
                <w:rFonts w:hint="eastAsia" w:ascii="仿宋" w:hAnsi="仿宋" w:eastAsia="仿宋" w:cs="方正仿宋_GB2312"/>
                <w:color w:val="auto"/>
                <w:sz w:val="24"/>
              </w:rPr>
              <w:t>100分</w:t>
            </w:r>
          </w:p>
        </w:tc>
      </w:tr>
    </w:tbl>
    <w:p w14:paraId="5145A0FB">
      <w:pPr>
        <w:pStyle w:val="48"/>
        <w:shd w:val="clear" w:color="auto" w:fill="auto"/>
        <w:spacing w:line="360" w:lineRule="auto"/>
        <w:ind w:firstLine="560" w:firstLineChars="200"/>
        <w:rPr>
          <w:rFonts w:hint="eastAsia" w:ascii="仿宋" w:hAnsi="仿宋" w:eastAsia="仿宋" w:cs="仿宋"/>
          <w:b w:val="0"/>
          <w:bCs w:val="0"/>
          <w:color w:val="000000"/>
          <w:sz w:val="28"/>
          <w:szCs w:val="28"/>
          <w:lang w:bidi="ar"/>
        </w:rPr>
      </w:pPr>
      <w:r>
        <w:rPr>
          <w:rFonts w:hint="eastAsia" w:ascii="仿宋" w:hAnsi="仿宋" w:eastAsia="仿宋" w:cs="仿宋"/>
          <w:b w:val="0"/>
          <w:bCs w:val="0"/>
          <w:color w:val="000000"/>
          <w:sz w:val="28"/>
          <w:szCs w:val="28"/>
          <w:lang w:bidi="ar"/>
        </w:rPr>
        <w:t>补充说明：初赛理论成绩不计入决赛总分，仅作为晋级筛选依据；决赛全部模块必须完成，缺考任一模块总成绩记0分。</w:t>
      </w:r>
    </w:p>
    <w:p w14:paraId="0645B771">
      <w:pPr>
        <w:pStyle w:val="48"/>
        <w:shd w:val="clear" w:color="auto" w:fill="auto"/>
        <w:spacing w:line="360" w:lineRule="auto"/>
        <w:ind w:firstLine="560" w:firstLineChars="200"/>
        <w:rPr>
          <w:rFonts w:hint="eastAsia" w:ascii="仿宋" w:hAnsi="仿宋" w:eastAsia="仿宋" w:cs="仿宋"/>
          <w:b w:val="0"/>
          <w:bCs w:val="0"/>
          <w:color w:val="000000"/>
          <w:sz w:val="28"/>
          <w:szCs w:val="28"/>
          <w:lang w:bidi="ar"/>
        </w:rPr>
      </w:pPr>
      <w:r>
        <w:rPr>
          <w:rFonts w:hint="eastAsia" w:ascii="仿宋" w:hAnsi="仿宋" w:eastAsia="仿宋" w:cs="仿宋"/>
          <w:b w:val="0"/>
          <w:bCs w:val="0"/>
          <w:color w:val="000000"/>
          <w:sz w:val="28"/>
          <w:szCs w:val="28"/>
          <w:lang w:bidi="ar"/>
        </w:rPr>
        <w:t>本赛项竞赛模块与三级（高级工）职业功能对应关系：理论模块覆盖职业道德、基础知识及水洗操作、质量控制、设备维护三大功能理论知识（对齐《服装水洗工国家职业标准（2024年版）》三级理论权重）；实操模块A（面料分检与化料配制）对应水洗操作准备（排顺序、配工作液）；实操模块B（石磨/酵磨复合洗+成品</w:t>
      </w:r>
      <w:r>
        <w:rPr>
          <w:rFonts w:hint="eastAsia" w:ascii="仿宋" w:hAnsi="仿宋" w:eastAsia="仿宋" w:cs="仿宋"/>
          <w:b w:val="0"/>
          <w:bCs w:val="0"/>
          <w:color w:val="000000"/>
          <w:sz w:val="28"/>
          <w:szCs w:val="28"/>
          <w:lang w:eastAsia="zh-CN" w:bidi="ar"/>
        </w:rPr>
        <w:t>效果</w:t>
      </w:r>
      <w:r>
        <w:rPr>
          <w:rFonts w:hint="eastAsia" w:ascii="仿宋" w:hAnsi="仿宋" w:eastAsia="仿宋" w:cs="仿宋"/>
          <w:b w:val="0"/>
          <w:bCs w:val="0"/>
          <w:color w:val="000000"/>
          <w:sz w:val="28"/>
          <w:szCs w:val="28"/>
          <w:lang w:bidi="ar"/>
        </w:rPr>
        <w:t>）以质量控制为主（判定效果、发现问题与处理）；设备维护能力通过理论考点、实操A设备点检环节及实操B设备规范操作综合考核。</w:t>
      </w:r>
    </w:p>
    <w:p w14:paraId="730344E9">
      <w:pPr>
        <w:pStyle w:val="3"/>
        <w:adjustRightInd w:val="0"/>
        <w:snapToGrid w:val="0"/>
        <w:spacing w:line="360" w:lineRule="auto"/>
        <w:rPr>
          <w:rFonts w:hint="eastAsia" w:ascii="仿宋" w:hAnsi="仿宋" w:eastAsia="仿宋"/>
          <w:sz w:val="30"/>
          <w:szCs w:val="30"/>
        </w:rPr>
      </w:pPr>
      <w:bookmarkStart w:id="25" w:name="_Toc26512"/>
      <w:r>
        <w:rPr>
          <w:rFonts w:hint="eastAsia" w:ascii="仿宋" w:hAnsi="仿宋" w:eastAsia="仿宋"/>
          <w:sz w:val="30"/>
          <w:szCs w:val="30"/>
        </w:rPr>
        <w:t>2</w:t>
      </w:r>
      <w:r>
        <w:rPr>
          <w:rFonts w:ascii="仿宋" w:hAnsi="仿宋" w:eastAsia="仿宋"/>
          <w:sz w:val="30"/>
          <w:szCs w:val="30"/>
        </w:rPr>
        <w:t>.</w:t>
      </w:r>
      <w:bookmarkEnd w:id="23"/>
      <w:r>
        <w:rPr>
          <w:rFonts w:hint="eastAsia" w:ascii="仿宋" w:hAnsi="仿宋" w:eastAsia="仿宋"/>
          <w:sz w:val="30"/>
          <w:szCs w:val="30"/>
        </w:rPr>
        <w:t>3基本工作</w:t>
      </w:r>
      <w:bookmarkEnd w:id="24"/>
      <w:bookmarkEnd w:id="25"/>
    </w:p>
    <w:p w14:paraId="773E7C75">
      <w:pPr>
        <w:spacing w:line="360" w:lineRule="auto"/>
        <w:ind w:firstLine="424" w:firstLineChars="151"/>
        <w:rPr>
          <w:rFonts w:hint="eastAsia" w:ascii="仿宋" w:hAnsi="仿宋" w:eastAsia="仿宋" w:cs="宋体"/>
          <w:b/>
          <w:bCs/>
          <w:kern w:val="0"/>
          <w:sz w:val="28"/>
          <w:szCs w:val="28"/>
        </w:rPr>
      </w:pPr>
      <w:r>
        <w:rPr>
          <w:rFonts w:hint="eastAsia" w:ascii="仿宋" w:hAnsi="仿宋" w:eastAsia="仿宋" w:cs="宋体"/>
          <w:b/>
          <w:bCs/>
          <w:kern w:val="0"/>
          <w:sz w:val="28"/>
          <w:szCs w:val="28"/>
        </w:rPr>
        <w:t>2.3.1理论模块（90分钟）</w:t>
      </w:r>
    </w:p>
    <w:p w14:paraId="73ACB28C">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（1）试题内容：</w:t>
      </w:r>
    </w:p>
    <w:p w14:paraId="6DF2ABE5">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①基础理论：牛仔面料纤维、染料、服装标识、洗水行业国标/团体标准；</w:t>
      </w:r>
    </w:p>
    <w:p w14:paraId="196316F2">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②工艺理论：酵素洗、石磨洗、退浆、漂洗、一浴法工艺参数；各类酶适宜pH、温度、作用机理；浮石选型、酵磨复合工艺；</w:t>
      </w:r>
    </w:p>
    <w:p w14:paraId="1B378829">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③安全环保：危化品管理、劳保防护、废水固废处理、车间防火防爆；</w:t>
      </w:r>
    </w:p>
    <w:p w14:paraId="36C73201">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④设备知识：洗脱一体机、脱水机、烘干机结构、安全操作、简易故障排查；单次水洗容量计算、设备点检与维护保养、控制面板数据读取分析、常见机械故障（振动、异响、异味、滴漏）识别与处理；</w:t>
      </w:r>
    </w:p>
    <w:p w14:paraId="617B279A">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⑤法律法规：《危险化学品安全管理条例》、GB18401、职业健康安全规范；</w:t>
      </w:r>
    </w:p>
    <w:p w14:paraId="6ED4A166">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⑥行业实操英语基础（助剂、设备、工艺专业词汇短句）。</w:t>
      </w:r>
    </w:p>
    <w:p w14:paraId="11FA4DCC">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2.试题题型：单项选择题、判断题，客观机读阅卷；</w:t>
      </w:r>
    </w:p>
    <w:p w14:paraId="14E3B095">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3.考核形式：纸质闭卷笔试，统一发放试卷、答题卡，禁止携带资料、手机；</w:t>
      </w:r>
    </w:p>
    <w:p w14:paraId="7A04F6CA">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4.评分规则：每题固定分值，无主观酌情分，总分100分</w:t>
      </w:r>
      <w:r>
        <w:rPr>
          <w:rFonts w:hint="eastAsia" w:ascii="仿宋" w:hAnsi="仿宋" w:eastAsia="仿宋" w:cs="宋体"/>
          <w:kern w:val="0"/>
          <w:sz w:val="28"/>
          <w:szCs w:val="28"/>
          <w:lang w:eastAsia="zh-CN"/>
        </w:rPr>
        <w:t>，不</w:t>
      </w:r>
      <w:r>
        <w:rPr>
          <w:rFonts w:hint="eastAsia" w:ascii="仿宋" w:hAnsi="仿宋" w:eastAsia="仿宋" w:cs="宋体"/>
          <w:kern w:val="0"/>
          <w:sz w:val="28"/>
          <w:szCs w:val="28"/>
        </w:rPr>
        <w:t>计入决赛成绩。</w:t>
      </w:r>
    </w:p>
    <w:p w14:paraId="19C37C30">
      <w:pPr>
        <w:spacing w:line="360" w:lineRule="auto"/>
        <w:ind w:firstLine="424" w:firstLineChars="151"/>
        <w:rPr>
          <w:rFonts w:hint="eastAsia" w:ascii="仿宋" w:hAnsi="仿宋" w:eastAsia="仿宋" w:cs="宋体"/>
          <w:b/>
          <w:bCs/>
          <w:kern w:val="0"/>
          <w:sz w:val="28"/>
          <w:szCs w:val="28"/>
        </w:rPr>
      </w:pPr>
      <w:r>
        <w:rPr>
          <w:rFonts w:hint="eastAsia" w:ascii="仿宋" w:hAnsi="仿宋" w:eastAsia="仿宋" w:cs="宋体"/>
          <w:b/>
          <w:bCs/>
          <w:kern w:val="0"/>
          <w:sz w:val="28"/>
          <w:szCs w:val="28"/>
        </w:rPr>
        <w:t>2.3.2实操模块A：面料分检与化料配制（</w:t>
      </w:r>
      <w:r>
        <w:rPr>
          <w:rFonts w:hint="eastAsia" w:ascii="仿宋" w:hAnsi="仿宋" w:eastAsia="仿宋" w:cs="宋体"/>
          <w:b/>
          <w:bCs/>
          <w:kern w:val="0"/>
          <w:sz w:val="28"/>
          <w:szCs w:val="28"/>
          <w:lang w:val="en-US" w:eastAsia="zh-CN"/>
        </w:rPr>
        <w:t>30分钟，总分100分，权重30%</w:t>
      </w:r>
      <w:r>
        <w:rPr>
          <w:rFonts w:hint="eastAsia" w:ascii="仿宋" w:hAnsi="仿宋" w:eastAsia="仿宋" w:cs="宋体"/>
          <w:b/>
          <w:bCs/>
          <w:kern w:val="0"/>
          <w:sz w:val="28"/>
          <w:szCs w:val="28"/>
        </w:rPr>
        <w:t>）</w:t>
      </w:r>
    </w:p>
    <w:p w14:paraId="228306FA">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（1）面料分检分色作业</w:t>
      </w:r>
    </w:p>
    <w:p w14:paraId="163C46CB">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①待洗牛仔成衣区分深、中、浅三色，区分弹力/纯棉牛仔，标识分类存放；挑出破损、色差、疵点服装，填写分检记录表；</w:t>
      </w:r>
    </w:p>
    <w:p w14:paraId="2A217D04">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②识别面料样板目标，预判退浆工艺；</w:t>
      </w:r>
    </w:p>
    <w:p w14:paraId="481877CF">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2.染化料精准配制</w:t>
      </w:r>
    </w:p>
    <w:p w14:paraId="56EACF42">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①精准称量淀粉酶、酸性纤维素酶、防回染剂、缓冲剂、纯碱等助剂；</w:t>
      </w:r>
    </w:p>
    <w:p w14:paraId="3FBA3692">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②按规范程序溶解、稀释化料，不同助剂分缸配制，管道标识区分，杜绝混配反应；</w:t>
      </w:r>
    </w:p>
    <w:p w14:paraId="09D6C517">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③控制化料温度、搅拌时长，配制完成后检测溶液pH值并记录；</w:t>
      </w:r>
    </w:p>
    <w:p w14:paraId="6BE046B8">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3.评分标准：客观测量分（称量精度、pH数值、分类正确率）+主观评价分（操作规范、防护佩戴、现场整洁）；超时按每分钟扣0.5分处理。</w:t>
      </w:r>
    </w:p>
    <w:p w14:paraId="5F9DC4E7">
      <w:pPr>
        <w:spacing w:line="360" w:lineRule="auto"/>
        <w:ind w:firstLine="424" w:firstLineChars="151"/>
        <w:rPr>
          <w:rFonts w:hint="eastAsia" w:ascii="仿宋" w:hAnsi="仿宋" w:eastAsia="仿宋" w:cs="宋体"/>
          <w:b/>
          <w:bCs/>
          <w:kern w:val="0"/>
          <w:sz w:val="28"/>
          <w:szCs w:val="28"/>
        </w:rPr>
      </w:pPr>
      <w:r>
        <w:rPr>
          <w:rFonts w:hint="eastAsia" w:ascii="仿宋" w:hAnsi="仿宋" w:eastAsia="仿宋" w:cs="宋体"/>
          <w:b/>
          <w:bCs/>
          <w:kern w:val="0"/>
          <w:sz w:val="28"/>
          <w:szCs w:val="28"/>
        </w:rPr>
        <w:t>2.3.</w:t>
      </w:r>
      <w:r>
        <w:rPr>
          <w:rFonts w:hint="eastAsia" w:ascii="仿宋" w:hAnsi="仿宋" w:eastAsia="仿宋" w:cs="宋体"/>
          <w:b/>
          <w:bCs/>
          <w:kern w:val="0"/>
          <w:sz w:val="28"/>
          <w:szCs w:val="28"/>
          <w:lang w:val="en-US" w:eastAsia="zh-CN"/>
        </w:rPr>
        <w:t>3</w:t>
      </w:r>
      <w:r>
        <w:rPr>
          <w:rFonts w:hint="eastAsia" w:ascii="仿宋" w:hAnsi="仿宋" w:eastAsia="仿宋" w:cs="宋体"/>
          <w:b/>
          <w:bCs/>
          <w:kern w:val="0"/>
          <w:sz w:val="28"/>
          <w:szCs w:val="28"/>
        </w:rPr>
        <w:t>实操模块</w:t>
      </w:r>
      <w:r>
        <w:rPr>
          <w:rFonts w:hint="eastAsia" w:ascii="仿宋" w:hAnsi="仿宋" w:eastAsia="仿宋" w:cs="宋体"/>
          <w:b/>
          <w:bCs/>
          <w:kern w:val="0"/>
          <w:sz w:val="28"/>
          <w:szCs w:val="28"/>
          <w:lang w:val="en-US" w:eastAsia="zh-CN"/>
        </w:rPr>
        <w:t>B</w:t>
      </w:r>
      <w:r>
        <w:rPr>
          <w:rFonts w:hint="eastAsia" w:ascii="仿宋" w:hAnsi="仿宋" w:eastAsia="仿宋" w:cs="宋体"/>
          <w:b/>
          <w:bCs/>
          <w:kern w:val="0"/>
          <w:sz w:val="28"/>
          <w:szCs w:val="28"/>
        </w:rPr>
        <w:t>：石磨/酵磨复合洗+成品</w:t>
      </w:r>
      <w:r>
        <w:rPr>
          <w:rFonts w:hint="eastAsia" w:ascii="仿宋" w:hAnsi="仿宋" w:eastAsia="仿宋" w:cs="宋体"/>
          <w:b/>
          <w:bCs/>
          <w:kern w:val="0"/>
          <w:sz w:val="28"/>
          <w:szCs w:val="28"/>
          <w:lang w:eastAsia="zh-CN"/>
        </w:rPr>
        <w:t>效果</w:t>
      </w:r>
      <w:r>
        <w:rPr>
          <w:rFonts w:hint="eastAsia" w:ascii="仿宋" w:hAnsi="仿宋" w:eastAsia="仿宋" w:cs="宋体"/>
          <w:b/>
          <w:bCs/>
          <w:kern w:val="0"/>
          <w:sz w:val="28"/>
          <w:szCs w:val="28"/>
        </w:rPr>
        <w:t>（150分钟，</w:t>
      </w:r>
      <w:r>
        <w:rPr>
          <w:rFonts w:hint="eastAsia" w:ascii="仿宋" w:hAnsi="仿宋" w:eastAsia="仿宋" w:cs="宋体"/>
          <w:b/>
          <w:bCs/>
          <w:kern w:val="0"/>
          <w:sz w:val="28"/>
          <w:szCs w:val="28"/>
          <w:lang w:val="en-US" w:eastAsia="zh-CN"/>
        </w:rPr>
        <w:t>总分100分，权重70%</w:t>
      </w:r>
      <w:r>
        <w:rPr>
          <w:rFonts w:hint="eastAsia" w:ascii="仿宋" w:hAnsi="仿宋" w:eastAsia="仿宋" w:cs="宋体"/>
          <w:b/>
          <w:bCs/>
          <w:kern w:val="0"/>
          <w:sz w:val="28"/>
          <w:szCs w:val="28"/>
        </w:rPr>
        <w:t>）</w:t>
      </w:r>
    </w:p>
    <w:p w14:paraId="4294B28E">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依据T/GDTEX22.2-2021《石磨洗工艺指南》命题，分为酵磨洗涤、脱水烘干、</w:t>
      </w:r>
      <w:r>
        <w:rPr>
          <w:rFonts w:hint="eastAsia" w:ascii="仿宋" w:hAnsi="仿宋" w:eastAsia="仿宋" w:cs="宋体"/>
          <w:kern w:val="0"/>
          <w:sz w:val="28"/>
          <w:szCs w:val="28"/>
          <w:lang w:eastAsia="zh-CN"/>
        </w:rPr>
        <w:t>成品效果</w:t>
      </w:r>
      <w:r>
        <w:rPr>
          <w:rFonts w:hint="eastAsia" w:ascii="仿宋" w:hAnsi="仿宋" w:eastAsia="仿宋" w:cs="宋体"/>
          <w:kern w:val="0"/>
          <w:sz w:val="28"/>
          <w:szCs w:val="28"/>
        </w:rPr>
        <w:t>三大环节：</w:t>
      </w:r>
    </w:p>
    <w:p w14:paraId="61CC29EE">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（1）石磨/酵磨洗涤工序</w:t>
      </w:r>
    </w:p>
    <w:p w14:paraId="29CB55FC">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①</w:t>
      </w:r>
      <w:r>
        <w:rPr>
          <w:rFonts w:hint="eastAsia" w:ascii="仿宋" w:hAnsi="仿宋" w:eastAsia="仿宋" w:cs="宋体"/>
          <w:kern w:val="0"/>
          <w:sz w:val="28"/>
          <w:szCs w:val="28"/>
          <w:lang w:eastAsia="zh-CN"/>
        </w:rPr>
        <w:t>自行选择是否使用</w:t>
      </w:r>
      <w:r>
        <w:rPr>
          <w:rFonts w:hint="eastAsia" w:ascii="仿宋" w:hAnsi="仿宋" w:eastAsia="仿宋" w:cs="宋体"/>
          <w:kern w:val="0"/>
          <w:sz w:val="28"/>
          <w:szCs w:val="28"/>
          <w:lang w:val="en-US" w:eastAsia="zh-CN"/>
        </w:rPr>
        <w:t>浮石</w:t>
      </w:r>
      <w:r>
        <w:rPr>
          <w:rFonts w:hint="eastAsia" w:ascii="仿宋" w:hAnsi="仿宋" w:eastAsia="仿宋" w:cs="宋体"/>
          <w:kern w:val="0"/>
          <w:sz w:val="28"/>
          <w:szCs w:val="28"/>
        </w:rPr>
        <w:t>；</w:t>
      </w:r>
    </w:p>
    <w:p w14:paraId="1FAD32F5">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②同步加入纤维素酶，完成酵磨复合洗，控制设备运转时间、摩擦强度；</w:t>
      </w:r>
    </w:p>
    <w:p w14:paraId="36152C23">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③泡沫辅助洗水可选试题：配置发泡液，均匀喷洒，全程禁用消泡类助剂；</w:t>
      </w:r>
    </w:p>
    <w:p w14:paraId="2CF1EAB4">
      <w:pPr>
        <w:spacing w:line="360" w:lineRule="auto"/>
        <w:ind w:firstLine="422" w:firstLineChars="151"/>
        <w:rPr>
          <w:rFonts w:hint="eastAsia" w:ascii="仿宋" w:hAnsi="仿宋" w:eastAsia="仿宋" w:cs="宋体"/>
          <w:kern w:val="0"/>
          <w:sz w:val="28"/>
          <w:szCs w:val="28"/>
          <w:lang w:eastAsia="zh-CN"/>
        </w:rPr>
      </w:pPr>
      <w:r>
        <w:rPr>
          <w:rFonts w:hint="eastAsia" w:ascii="仿宋" w:hAnsi="仿宋" w:eastAsia="仿宋" w:cs="宋体"/>
          <w:kern w:val="0"/>
          <w:sz w:val="28"/>
          <w:szCs w:val="28"/>
        </w:rPr>
        <w:t>④多次对样，达到样板效果后停机</w:t>
      </w:r>
      <w:r>
        <w:rPr>
          <w:rFonts w:hint="eastAsia" w:ascii="仿宋" w:hAnsi="仿宋" w:eastAsia="仿宋" w:cs="宋体"/>
          <w:kern w:val="0"/>
          <w:sz w:val="28"/>
          <w:szCs w:val="28"/>
          <w:lang w:eastAsia="zh-CN"/>
        </w:rPr>
        <w:t>。</w:t>
      </w:r>
    </w:p>
    <w:p w14:paraId="197ACC24">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（2）脱水、烘干规范操作</w:t>
      </w:r>
    </w:p>
    <w:p w14:paraId="2D95C388">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①脱水机安全装料、设定转速与时间，设备完全停机后方可取衣；</w:t>
      </w:r>
    </w:p>
    <w:p w14:paraId="72D38355">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②烘干机设置对应温度，正反转交替烘干，烘干完成降温再取衣，防止面料收缩变形；</w:t>
      </w:r>
    </w:p>
    <w:p w14:paraId="3B4C32ED">
      <w:pPr>
        <w:spacing w:line="360" w:lineRule="auto"/>
        <w:ind w:firstLine="422" w:firstLineChars="151"/>
        <w:rPr>
          <w:rFonts w:hint="eastAsia" w:ascii="仿宋" w:hAnsi="仿宋" w:eastAsia="仿宋" w:cs="宋体"/>
          <w:kern w:val="0"/>
          <w:sz w:val="28"/>
          <w:szCs w:val="28"/>
          <w:lang w:eastAsia="zh-CN"/>
        </w:rPr>
      </w:pPr>
      <w:r>
        <w:rPr>
          <w:rFonts w:hint="eastAsia" w:ascii="仿宋" w:hAnsi="仿宋" w:eastAsia="仿宋" w:cs="宋体"/>
          <w:kern w:val="0"/>
          <w:sz w:val="28"/>
          <w:szCs w:val="28"/>
        </w:rPr>
        <w:t>（3）洗后</w:t>
      </w:r>
      <w:r>
        <w:rPr>
          <w:rFonts w:hint="eastAsia" w:ascii="仿宋" w:hAnsi="仿宋" w:eastAsia="仿宋" w:cs="宋体"/>
          <w:kern w:val="0"/>
          <w:sz w:val="28"/>
          <w:szCs w:val="28"/>
          <w:lang w:eastAsia="zh-CN"/>
        </w:rPr>
        <w:t>成品</w:t>
      </w:r>
      <w:r>
        <w:rPr>
          <w:rFonts w:hint="eastAsia" w:ascii="仿宋" w:hAnsi="仿宋" w:eastAsia="仿宋" w:cs="宋体"/>
          <w:kern w:val="0"/>
          <w:sz w:val="28"/>
          <w:szCs w:val="28"/>
          <w:lang w:val="en-US" w:eastAsia="zh-CN"/>
        </w:rPr>
        <w:t>效果</w:t>
      </w:r>
    </w:p>
    <w:p w14:paraId="365D0426">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①对比标准样板判定色差、手感、尺寸、弹力、破损疵点；</w:t>
      </w:r>
    </w:p>
    <w:p w14:paraId="376A6076">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②填写</w:t>
      </w:r>
      <w:r>
        <w:rPr>
          <w:rFonts w:hint="eastAsia" w:ascii="仿宋" w:hAnsi="仿宋" w:eastAsia="仿宋" w:cs="宋体"/>
          <w:kern w:val="0"/>
          <w:sz w:val="28"/>
          <w:szCs w:val="28"/>
          <w:lang w:val="en-US" w:eastAsia="zh-CN"/>
        </w:rPr>
        <w:t>工艺记录单</w:t>
      </w:r>
      <w:r>
        <w:rPr>
          <w:rFonts w:hint="eastAsia" w:ascii="仿宋" w:hAnsi="仿宋" w:eastAsia="仿宋" w:cs="宋体"/>
          <w:kern w:val="0"/>
          <w:sz w:val="28"/>
          <w:szCs w:val="28"/>
        </w:rPr>
        <w:t>；</w:t>
      </w:r>
    </w:p>
    <w:p w14:paraId="093967B4">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（4）评分标准：浮石投放规范、酵磨工艺参数控制、成衣外观效果、脱水烘干操作安全、现场5S管理。</w:t>
      </w:r>
    </w:p>
    <w:p w14:paraId="63CAA8FD">
      <w:pPr>
        <w:spacing w:line="360" w:lineRule="auto"/>
        <w:ind w:firstLine="424" w:firstLineChars="151"/>
        <w:rPr>
          <w:rFonts w:hint="eastAsia" w:ascii="仿宋" w:hAnsi="仿宋" w:eastAsia="仿宋" w:cs="宋体"/>
          <w:b/>
          <w:bCs/>
          <w:kern w:val="0"/>
          <w:sz w:val="28"/>
          <w:szCs w:val="28"/>
        </w:rPr>
      </w:pPr>
      <w:r>
        <w:rPr>
          <w:rFonts w:hint="eastAsia" w:ascii="仿宋" w:hAnsi="仿宋" w:eastAsia="仿宋" w:cs="宋体"/>
          <w:b/>
          <w:bCs/>
          <w:kern w:val="0"/>
          <w:sz w:val="28"/>
          <w:szCs w:val="28"/>
        </w:rPr>
        <w:t>2.3.5配套作业书要求</w:t>
      </w:r>
    </w:p>
    <w:p w14:paraId="72C9268F">
      <w:pPr>
        <w:spacing w:line="360" w:lineRule="auto"/>
        <w:ind w:firstLine="422" w:firstLineChars="151"/>
        <w:rPr>
          <w:rFonts w:hint="eastAsia" w:ascii="仿宋" w:hAnsi="仿宋" w:eastAsia="仿宋" w:cs="宋体"/>
          <w:kern w:val="0"/>
          <w:sz w:val="28"/>
          <w:szCs w:val="28"/>
        </w:rPr>
      </w:pPr>
      <w:r>
        <w:rPr>
          <w:rFonts w:hint="eastAsia" w:ascii="仿宋" w:hAnsi="仿宋" w:eastAsia="仿宋" w:cs="宋体"/>
          <w:kern w:val="0"/>
          <w:sz w:val="28"/>
          <w:szCs w:val="28"/>
        </w:rPr>
        <w:t>各实操模块赛前统一发放作业指导书，放置于工位展示台；作业书包含工艺流程图、设备操作示意图、标准色板参考、参数对照表，选手全程可查阅，禁止涂改、带离工位。竞赛结束后统一回收存档。</w:t>
      </w:r>
    </w:p>
    <w:p w14:paraId="14E56560">
      <w:pPr>
        <w:pStyle w:val="3"/>
        <w:adjustRightInd w:val="0"/>
        <w:snapToGrid w:val="0"/>
        <w:spacing w:before="240" w:line="360" w:lineRule="auto"/>
        <w:rPr>
          <w:rFonts w:hint="eastAsia" w:ascii="仿宋" w:hAnsi="仿宋" w:eastAsia="仿宋"/>
          <w:sz w:val="30"/>
          <w:szCs w:val="30"/>
        </w:rPr>
      </w:pPr>
      <w:bookmarkStart w:id="26" w:name="_Toc5247"/>
      <w:bookmarkStart w:id="27" w:name="_Toc530340404"/>
      <w:bookmarkStart w:id="28" w:name="_Toc481314004"/>
      <w:r>
        <w:rPr>
          <w:rFonts w:hint="eastAsia" w:ascii="仿宋" w:hAnsi="仿宋" w:eastAsia="仿宋"/>
          <w:sz w:val="30"/>
          <w:szCs w:val="30"/>
        </w:rPr>
        <w:t>2</w:t>
      </w:r>
      <w:r>
        <w:rPr>
          <w:rFonts w:ascii="仿宋" w:hAnsi="仿宋" w:eastAsia="仿宋"/>
          <w:sz w:val="30"/>
          <w:szCs w:val="30"/>
        </w:rPr>
        <w:t>.</w:t>
      </w:r>
      <w:r>
        <w:rPr>
          <w:rFonts w:hint="eastAsia" w:ascii="仿宋" w:hAnsi="仿宋" w:eastAsia="仿宋"/>
          <w:sz w:val="30"/>
          <w:szCs w:val="30"/>
        </w:rPr>
        <w:t>4命题方式</w:t>
      </w:r>
      <w:bookmarkEnd w:id="26"/>
      <w:bookmarkEnd w:id="27"/>
      <w:bookmarkEnd w:id="28"/>
    </w:p>
    <w:p w14:paraId="3144F7D0">
      <w:pPr>
        <w:spacing w:line="360" w:lineRule="auto"/>
        <w:ind w:firstLine="560" w:firstLineChars="200"/>
        <w:rPr>
          <w:rFonts w:hint="eastAsia" w:ascii="仿宋" w:hAnsi="仿宋" w:eastAsia="仿宋"/>
          <w:sz w:val="28"/>
          <w:szCs w:val="28"/>
        </w:rPr>
      </w:pPr>
      <w:bookmarkStart w:id="29" w:name="_Toc481314005"/>
      <w:r>
        <w:rPr>
          <w:rFonts w:hint="eastAsia" w:ascii="仿宋" w:hAnsi="仿宋" w:eastAsia="仿宋"/>
          <w:sz w:val="28"/>
          <w:szCs w:val="28"/>
        </w:rPr>
        <w:t>本赛项试题的命题方式：</w:t>
      </w:r>
    </w:p>
    <w:p w14:paraId="205EE874">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（1）命题主体：第三方纺织洗水行业专家团队独立命题，严格保密；</w:t>
      </w:r>
    </w:p>
    <w:p w14:paraId="719F635F">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（2）试题公开规则：理论试题全程保密，赛前不对外公布；实操模块A/B基础工艺试题作为样题随本技术文件附件发布；</w:t>
      </w:r>
    </w:p>
    <w:p w14:paraId="15736B3B">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（3）赛前试题调整：竞赛前1天裁判长组织全体裁判员研讨，可对已公开实操试题工艺参数、成衣样品进行不超过30%内容调整，调整后当日统一公示；</w:t>
      </w:r>
    </w:p>
    <w:p w14:paraId="3EC93CD2">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（4）命题依据：《</w:t>
      </w:r>
      <w:r>
        <w:rPr>
          <w:rFonts w:hint="eastAsia" w:ascii="仿宋" w:hAnsi="仿宋" w:eastAsia="仿宋"/>
          <w:sz w:val="28"/>
          <w:szCs w:val="28"/>
          <w:lang w:eastAsia="zh-CN"/>
        </w:rPr>
        <w:t>服装水洗工</w:t>
      </w:r>
      <w:r>
        <w:rPr>
          <w:rFonts w:hint="eastAsia" w:ascii="仿宋" w:hAnsi="仿宋" w:eastAsia="仿宋"/>
          <w:sz w:val="28"/>
          <w:szCs w:val="28"/>
        </w:rPr>
        <w:t>（2024版）国家职业技能标准》三级（高级工）、T/GDTEX06、T/GDTEX22.1、T/GDTEX22.2全套行业标准，结合中山牛仔服装洗水企业真实生产工艺；</w:t>
      </w:r>
    </w:p>
    <w:p w14:paraId="18FDE047">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（5）试题否定项设置：</w:t>
      </w:r>
    </w:p>
    <w:p w14:paraId="783E3899">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①选手操作引发化学品灼伤、设备漏电、蒸汽泄漏等安全险情，立即中止竞赛，该模块记0分；</w:t>
      </w:r>
    </w:p>
    <w:p w14:paraId="5B6F57FC">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②违规操作造成洗水设备严重故障无法现场修复，对应实操模块成绩清零；</w:t>
      </w:r>
    </w:p>
    <w:p w14:paraId="3DA6451C">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③违规混用强酸碱化料产生有毒有害气体，直接取消本次竞赛全部成绩。</w:t>
      </w:r>
    </w:p>
    <w:p w14:paraId="286D50C8">
      <w:pPr>
        <w:pStyle w:val="2"/>
        <w:adjustRightInd w:val="0"/>
        <w:snapToGrid w:val="0"/>
        <w:spacing w:beforeLines="0" w:afterLines="0" w:line="360" w:lineRule="auto"/>
        <w:rPr>
          <w:rFonts w:hint="eastAsia" w:ascii="仿宋" w:hAnsi="仿宋" w:eastAsia="仿宋"/>
          <w:sz w:val="32"/>
          <w:szCs w:val="32"/>
        </w:rPr>
      </w:pPr>
      <w:bookmarkStart w:id="30" w:name="_Toc16256"/>
      <w:bookmarkStart w:id="31" w:name="_Toc530340407"/>
      <w:r>
        <w:rPr>
          <w:rFonts w:hint="eastAsia" w:ascii="仿宋" w:hAnsi="仿宋" w:eastAsia="仿宋"/>
          <w:sz w:val="32"/>
          <w:szCs w:val="32"/>
        </w:rPr>
        <w:t>3</w:t>
      </w:r>
      <w:r>
        <w:rPr>
          <w:rFonts w:ascii="仿宋" w:hAnsi="仿宋" w:eastAsia="仿宋"/>
          <w:sz w:val="32"/>
          <w:szCs w:val="32"/>
        </w:rPr>
        <w:t>.</w:t>
      </w:r>
      <w:r>
        <w:rPr>
          <w:rFonts w:hint="eastAsia" w:ascii="仿宋" w:hAnsi="仿宋" w:eastAsia="仿宋"/>
          <w:sz w:val="32"/>
          <w:szCs w:val="32"/>
        </w:rPr>
        <w:t>评分规则</w:t>
      </w:r>
      <w:bookmarkEnd w:id="29"/>
      <w:bookmarkEnd w:id="30"/>
      <w:bookmarkEnd w:id="31"/>
    </w:p>
    <w:p w14:paraId="6E3D6127">
      <w:pPr>
        <w:pageBreakBefore w:val="0"/>
        <w:widowControl/>
        <w:numPr>
          <w:ilvl w:val="0"/>
          <w:numId w:val="0"/>
        </w:numPr>
        <w:kinsoku/>
        <w:wordWrap/>
        <w:overflowPunct/>
        <w:topLinePunct w:val="0"/>
        <w:autoSpaceDE/>
        <w:autoSpaceDN/>
        <w:bidi w:val="0"/>
        <w:snapToGrid w:val="0"/>
        <w:spacing w:line="240" w:lineRule="auto"/>
        <w:ind w:firstLine="560" w:firstLineChars="200"/>
        <w:textAlignment w:val="baseline"/>
        <w:rPr>
          <w:rFonts w:hint="eastAsia" w:ascii="仿宋" w:hAnsi="仿宋" w:eastAsia="仿宋" w:cs="Times New Roman"/>
          <w:sz w:val="28"/>
          <w:szCs w:val="28"/>
          <w:lang w:val="en-US" w:eastAsia="zh-CN"/>
        </w:rPr>
      </w:pPr>
      <w:r>
        <w:rPr>
          <w:rFonts w:hint="eastAsia" w:ascii="仿宋" w:hAnsi="仿宋" w:eastAsia="仿宋"/>
          <w:sz w:val="28"/>
          <w:szCs w:val="28"/>
        </w:rPr>
        <w:t>评分标准是裁判对参赛者的项目进行评估以及评分过程和评分要求。评分标准是技能大赛的重要工作</w:t>
      </w:r>
      <w:r>
        <w:rPr>
          <w:rFonts w:hint="eastAsia" w:ascii="仿宋" w:hAnsi="仿宋" w:eastAsia="仿宋"/>
          <w:spacing w:val="-94"/>
          <w:sz w:val="28"/>
          <w:szCs w:val="28"/>
        </w:rPr>
        <w:t>，</w:t>
      </w:r>
      <w:r>
        <w:rPr>
          <w:rFonts w:hint="eastAsia" w:ascii="仿宋" w:hAnsi="仿宋" w:eastAsia="仿宋"/>
          <w:sz w:val="28"/>
          <w:szCs w:val="28"/>
        </w:rPr>
        <w:t>每个项目得分要遵守技能要求标准，要按照标准细则的权重给每个竞赛模块进行评判分数。</w:t>
      </w:r>
      <w:r>
        <w:rPr>
          <w:rFonts w:hint="eastAsia" w:ascii="仿宋" w:hAnsi="仿宋" w:eastAsia="仿宋" w:cs="Times New Roman"/>
          <w:sz w:val="28"/>
          <w:szCs w:val="28"/>
          <w:lang w:val="en-US" w:eastAsia="zh-CN"/>
        </w:rPr>
        <w:t>评分过程分为成绩初评和成绩复核2大环节，成绩初评</w:t>
      </w:r>
      <w:r>
        <w:rPr>
          <w:rFonts w:hint="eastAsia" w:ascii="仿宋" w:hAnsi="仿宋" w:eastAsia="仿宋" w:cs="宋体"/>
          <w:sz w:val="28"/>
          <w:szCs w:val="28"/>
        </w:rPr>
        <w:t>各裁判分工协作，严格按照评分标准评分，评分过程执行回避原则。</w:t>
      </w:r>
      <w:r>
        <w:rPr>
          <w:rFonts w:hint="eastAsia" w:ascii="仿宋" w:hAnsi="仿宋" w:eastAsia="仿宋" w:cs="Times New Roman"/>
          <w:sz w:val="28"/>
          <w:szCs w:val="28"/>
          <w:lang w:val="en-US" w:eastAsia="zh-CN"/>
        </w:rPr>
        <w:t>成绩复核环节由裁判长主导，包括成绩抽检、成绩原始材料核对、成绩流程复核等环节，成绩复核后方可正式生效。</w:t>
      </w:r>
    </w:p>
    <w:p w14:paraId="2C13462A">
      <w:pPr>
        <w:spacing w:line="360" w:lineRule="auto"/>
        <w:ind w:firstLine="560" w:firstLineChars="200"/>
        <w:rPr>
          <w:rFonts w:hint="eastAsia" w:ascii="仿宋" w:hAnsi="仿宋" w:eastAsia="仿宋" w:cs="宋体"/>
          <w:sz w:val="28"/>
          <w:szCs w:val="28"/>
        </w:rPr>
      </w:pPr>
    </w:p>
    <w:p w14:paraId="101E28BA">
      <w:pPr>
        <w:pStyle w:val="3"/>
        <w:adjustRightInd w:val="0"/>
        <w:snapToGrid w:val="0"/>
        <w:spacing w:line="360" w:lineRule="auto"/>
        <w:rPr>
          <w:rFonts w:hint="eastAsia" w:ascii="仿宋" w:hAnsi="仿宋" w:eastAsia="仿宋"/>
          <w:sz w:val="30"/>
          <w:szCs w:val="30"/>
        </w:rPr>
      </w:pPr>
      <w:bookmarkStart w:id="32" w:name="_Toc530340408"/>
      <w:bookmarkStart w:id="33" w:name="_Toc481314006"/>
      <w:bookmarkStart w:id="34" w:name="_Toc5444"/>
      <w:r>
        <w:rPr>
          <w:rFonts w:hint="eastAsia" w:ascii="仿宋" w:hAnsi="仿宋" w:eastAsia="仿宋"/>
          <w:sz w:val="30"/>
          <w:szCs w:val="30"/>
        </w:rPr>
        <w:t>3</w:t>
      </w:r>
      <w:r>
        <w:rPr>
          <w:rFonts w:ascii="仿宋" w:hAnsi="仿宋" w:eastAsia="仿宋"/>
          <w:sz w:val="30"/>
          <w:szCs w:val="30"/>
        </w:rPr>
        <w:t>.1</w:t>
      </w:r>
      <w:r>
        <w:rPr>
          <w:rFonts w:hint="eastAsia" w:ascii="仿宋" w:hAnsi="仿宋" w:eastAsia="仿宋"/>
          <w:sz w:val="30"/>
          <w:szCs w:val="30"/>
        </w:rPr>
        <w:t>评价分</w:t>
      </w:r>
      <w:bookmarkEnd w:id="32"/>
      <w:bookmarkEnd w:id="33"/>
      <w:r>
        <w:rPr>
          <w:rFonts w:hint="eastAsia" w:ascii="仿宋" w:hAnsi="仿宋" w:eastAsia="仿宋"/>
          <w:sz w:val="30"/>
          <w:szCs w:val="30"/>
        </w:rPr>
        <w:t>与测量分</w:t>
      </w:r>
      <w:bookmarkEnd w:id="34"/>
    </w:p>
    <w:p w14:paraId="1730BAFB">
      <w:pPr>
        <w:adjustRightInd w:val="0"/>
        <w:snapToGrid w:val="0"/>
        <w:spacing w:line="360" w:lineRule="auto"/>
        <w:ind w:firstLine="482"/>
        <w:jc w:val="left"/>
        <w:rPr>
          <w:rFonts w:hint="eastAsia" w:ascii="仿宋" w:hAnsi="仿宋" w:eastAsia="仿宋"/>
          <w:color w:val="000000"/>
          <w:sz w:val="28"/>
          <w:szCs w:val="28"/>
        </w:rPr>
      </w:pPr>
      <w:r>
        <w:rPr>
          <w:rFonts w:hint="eastAsia" w:ascii="仿宋" w:hAnsi="仿宋" w:eastAsia="仿宋"/>
          <w:color w:val="000000"/>
          <w:sz w:val="28"/>
          <w:szCs w:val="28"/>
        </w:rPr>
        <w:t>3.1评价分与测量分</w:t>
      </w:r>
    </w:p>
    <w:p w14:paraId="385C2D43">
      <w:pPr>
        <w:adjustRightInd w:val="0"/>
        <w:snapToGrid w:val="0"/>
        <w:spacing w:line="360" w:lineRule="auto"/>
        <w:ind w:firstLine="482"/>
        <w:jc w:val="left"/>
        <w:rPr>
          <w:rFonts w:hint="eastAsia" w:ascii="仿宋" w:hAnsi="仿宋" w:eastAsia="仿宋"/>
          <w:color w:val="000000"/>
          <w:sz w:val="28"/>
          <w:szCs w:val="28"/>
        </w:rPr>
      </w:pPr>
      <w:r>
        <w:rPr>
          <w:rFonts w:hint="eastAsia" w:ascii="仿宋" w:hAnsi="仿宋" w:eastAsia="仿宋"/>
          <w:color w:val="000000"/>
          <w:sz w:val="28"/>
          <w:szCs w:val="28"/>
        </w:rPr>
        <w:t>赛项总分由客观测量分、主观评价分两部分组成，全部裁判执裁执行回避制度（不得执裁本单位选手）。</w:t>
      </w:r>
    </w:p>
    <w:p w14:paraId="580A2501">
      <w:pPr>
        <w:adjustRightInd w:val="0"/>
        <w:snapToGrid w:val="0"/>
        <w:spacing w:line="360" w:lineRule="auto"/>
        <w:ind w:firstLine="482"/>
        <w:jc w:val="left"/>
        <w:rPr>
          <w:rFonts w:hint="eastAsia" w:ascii="仿宋" w:hAnsi="仿宋" w:eastAsia="仿宋"/>
          <w:color w:val="000000"/>
          <w:sz w:val="28"/>
          <w:szCs w:val="28"/>
        </w:rPr>
      </w:pPr>
      <w:r>
        <w:rPr>
          <w:rFonts w:hint="eastAsia" w:ascii="仿宋" w:hAnsi="仿宋" w:eastAsia="仿宋"/>
          <w:color w:val="000000"/>
          <w:sz w:val="28"/>
          <w:szCs w:val="28"/>
        </w:rPr>
        <w:t>1.测量分</w:t>
      </w:r>
    </w:p>
    <w:p w14:paraId="1A63ABA6">
      <w:pPr>
        <w:adjustRightInd w:val="0"/>
        <w:snapToGrid w:val="0"/>
        <w:spacing w:line="360" w:lineRule="auto"/>
        <w:ind w:firstLine="482"/>
        <w:jc w:val="left"/>
        <w:rPr>
          <w:rFonts w:hint="eastAsia" w:ascii="仿宋" w:hAnsi="仿宋" w:eastAsia="仿宋"/>
          <w:color w:val="000000"/>
          <w:sz w:val="28"/>
          <w:szCs w:val="28"/>
        </w:rPr>
      </w:pPr>
      <w:r>
        <w:rPr>
          <w:rFonts w:hint="eastAsia" w:ascii="仿宋" w:hAnsi="仿宋" w:eastAsia="仿宋"/>
          <w:color w:val="000000"/>
          <w:sz w:val="28"/>
          <w:szCs w:val="28"/>
        </w:rPr>
        <w:t>每个工位配备3名裁判员组成执裁小组，针对可量化指标（称量数值、pH、温度、时间、色差等级、尺寸、疵点数量）统一核定唯一分值，数据现场记录，不得随意修改；</w:t>
      </w:r>
    </w:p>
    <w:p w14:paraId="3CB962D4">
      <w:pPr>
        <w:adjustRightInd w:val="0"/>
        <w:snapToGrid w:val="0"/>
        <w:spacing w:line="360" w:lineRule="auto"/>
        <w:ind w:firstLine="482"/>
        <w:jc w:val="left"/>
        <w:rPr>
          <w:rFonts w:hint="eastAsia" w:ascii="仿宋" w:hAnsi="仿宋" w:eastAsia="仿宋"/>
          <w:color w:val="000000"/>
          <w:sz w:val="28"/>
          <w:szCs w:val="28"/>
        </w:rPr>
      </w:pPr>
      <w:r>
        <w:rPr>
          <w:rFonts w:hint="eastAsia" w:ascii="仿宋" w:hAnsi="仿宋" w:eastAsia="仿宋"/>
          <w:color w:val="000000"/>
          <w:sz w:val="28"/>
          <w:szCs w:val="28"/>
        </w:rPr>
        <w:t>2.评价分</w:t>
      </w:r>
    </w:p>
    <w:p w14:paraId="1A8E790D">
      <w:pPr>
        <w:adjustRightInd w:val="0"/>
        <w:snapToGrid w:val="0"/>
        <w:spacing w:line="360" w:lineRule="auto"/>
        <w:ind w:firstLine="482"/>
        <w:jc w:val="left"/>
        <w:rPr>
          <w:rFonts w:hint="eastAsia" w:ascii="仿宋" w:hAnsi="仿宋" w:eastAsia="仿宋"/>
          <w:color w:val="000000"/>
          <w:sz w:val="28"/>
          <w:szCs w:val="28"/>
        </w:rPr>
      </w:pPr>
      <w:r>
        <w:rPr>
          <w:rFonts w:hint="eastAsia" w:ascii="仿宋" w:hAnsi="仿宋" w:eastAsia="仿宋"/>
          <w:color w:val="000000"/>
          <w:sz w:val="28"/>
          <w:szCs w:val="28"/>
        </w:rPr>
        <w:t>三名裁判独立打分，单项评分三人分差≤5分，超出分差需裁判组共同现场复核，由裁判长监督调整并书面记录理由；单项最终得分取三名裁判平均分；</w:t>
      </w:r>
    </w:p>
    <w:p w14:paraId="69AC1162">
      <w:pPr>
        <w:adjustRightInd w:val="0"/>
        <w:snapToGrid w:val="0"/>
        <w:spacing w:line="360" w:lineRule="auto"/>
        <w:ind w:firstLine="482"/>
        <w:jc w:val="left"/>
        <w:rPr>
          <w:rFonts w:hint="eastAsia" w:ascii="仿宋" w:hAnsi="仿宋" w:eastAsia="仿宋"/>
          <w:color w:val="000000"/>
          <w:sz w:val="28"/>
          <w:szCs w:val="28"/>
        </w:rPr>
      </w:pPr>
      <w:r>
        <w:rPr>
          <w:rFonts w:hint="eastAsia" w:ascii="仿宋" w:hAnsi="仿宋" w:eastAsia="仿宋"/>
          <w:color w:val="000000"/>
          <w:sz w:val="28"/>
          <w:szCs w:val="28"/>
        </w:rPr>
        <w:t>3.统一要求：所有打分、记录必须同步填写评分表，选手操作全程留存现场影像备查。</w:t>
      </w:r>
    </w:p>
    <w:p w14:paraId="2C03F5BC">
      <w:pPr>
        <w:adjustRightInd w:val="0"/>
        <w:snapToGrid w:val="0"/>
        <w:spacing w:line="360" w:lineRule="auto"/>
        <w:ind w:firstLine="482"/>
        <w:jc w:val="left"/>
        <w:rPr>
          <w:rFonts w:hint="eastAsia" w:ascii="仿宋" w:hAnsi="仿宋" w:eastAsia="仿宋"/>
          <w:color w:val="000000"/>
          <w:sz w:val="28"/>
          <w:szCs w:val="28"/>
        </w:rPr>
      </w:pPr>
      <w:r>
        <w:rPr>
          <w:rFonts w:hint="eastAsia" w:ascii="仿宋" w:hAnsi="仿宋" w:eastAsia="仿宋"/>
          <w:color w:val="000000"/>
          <w:sz w:val="28"/>
          <w:szCs w:val="28"/>
        </w:rPr>
        <w:t>3.2统分方法</w:t>
      </w:r>
    </w:p>
    <w:p w14:paraId="5B8A0FF9">
      <w:pPr>
        <w:adjustRightInd w:val="0"/>
        <w:snapToGrid w:val="0"/>
        <w:spacing w:line="360" w:lineRule="auto"/>
        <w:ind w:firstLine="482"/>
        <w:jc w:val="left"/>
        <w:rPr>
          <w:rFonts w:hint="eastAsia" w:ascii="仿宋" w:hAnsi="仿宋" w:eastAsia="仿宋"/>
          <w:color w:val="000000"/>
          <w:sz w:val="28"/>
          <w:szCs w:val="28"/>
        </w:rPr>
      </w:pPr>
      <w:r>
        <w:rPr>
          <w:rFonts w:hint="eastAsia" w:ascii="仿宋" w:hAnsi="仿宋" w:eastAsia="仿宋"/>
          <w:color w:val="000000"/>
          <w:sz w:val="28"/>
          <w:szCs w:val="28"/>
        </w:rPr>
        <w:t>（1）每模块实操结束后，裁判组当场完成本模块打分、签字确认；理论笔试结束后由阅卷组统一阅卷；</w:t>
      </w:r>
    </w:p>
    <w:p w14:paraId="4CEB7A0A">
      <w:pPr>
        <w:adjustRightInd w:val="0"/>
        <w:snapToGrid w:val="0"/>
        <w:spacing w:line="360" w:lineRule="auto"/>
        <w:ind w:firstLine="482"/>
        <w:jc w:val="left"/>
        <w:rPr>
          <w:rFonts w:hint="eastAsia" w:ascii="仿宋" w:hAnsi="仿宋" w:eastAsia="仿宋"/>
          <w:color w:val="000000"/>
          <w:sz w:val="28"/>
          <w:szCs w:val="28"/>
        </w:rPr>
      </w:pPr>
      <w:r>
        <w:rPr>
          <w:rFonts w:hint="eastAsia" w:ascii="仿宋" w:hAnsi="仿宋" w:eastAsia="仿宋"/>
          <w:color w:val="000000"/>
          <w:sz w:val="28"/>
          <w:szCs w:val="28"/>
        </w:rPr>
        <w:t>（2）统分工作人员使用统一计分表格，汇总各模块折算分数，生成选手完整总成绩表；</w:t>
      </w:r>
    </w:p>
    <w:p w14:paraId="090D6C1B">
      <w:pPr>
        <w:adjustRightInd w:val="0"/>
        <w:snapToGrid w:val="0"/>
        <w:spacing w:line="360" w:lineRule="auto"/>
        <w:ind w:firstLine="482"/>
        <w:jc w:val="left"/>
        <w:rPr>
          <w:rFonts w:hint="eastAsia" w:ascii="仿宋" w:hAnsi="仿宋" w:eastAsia="仿宋"/>
          <w:color w:val="000000"/>
          <w:sz w:val="28"/>
          <w:szCs w:val="28"/>
        </w:rPr>
      </w:pPr>
      <w:r>
        <w:rPr>
          <w:rFonts w:hint="eastAsia" w:ascii="仿宋" w:hAnsi="仿宋" w:eastAsia="仿宋"/>
          <w:color w:val="000000"/>
          <w:sz w:val="28"/>
          <w:szCs w:val="28"/>
        </w:rPr>
        <w:t>（3）总分表、各模块原始评分表、裁判打分记录全部交由裁判长二次复核签字，复核无误后封存，成绩公示前严禁外传；</w:t>
      </w:r>
    </w:p>
    <w:p w14:paraId="2615144F">
      <w:pPr>
        <w:adjustRightInd w:val="0"/>
        <w:snapToGrid w:val="0"/>
        <w:spacing w:line="360" w:lineRule="auto"/>
        <w:ind w:firstLine="482"/>
        <w:jc w:val="left"/>
        <w:rPr>
          <w:rFonts w:hint="eastAsia" w:ascii="仿宋" w:hAnsi="仿宋" w:eastAsia="仿宋"/>
          <w:color w:val="000000"/>
          <w:sz w:val="28"/>
          <w:szCs w:val="28"/>
        </w:rPr>
      </w:pPr>
      <w:r>
        <w:rPr>
          <w:rFonts w:hint="eastAsia" w:ascii="仿宋" w:hAnsi="仿宋" w:eastAsia="仿宋"/>
          <w:color w:val="000000"/>
          <w:sz w:val="28"/>
          <w:szCs w:val="28"/>
        </w:rPr>
        <w:t>（4）计分误差修正：发现统分计算错误，需两名工作人员+裁判长共同更正，签署更正记录存档。</w:t>
      </w:r>
    </w:p>
    <w:p w14:paraId="3A19E91D">
      <w:pPr>
        <w:pStyle w:val="3"/>
        <w:adjustRightInd w:val="0"/>
        <w:snapToGrid w:val="0"/>
        <w:spacing w:line="360" w:lineRule="auto"/>
        <w:rPr>
          <w:rFonts w:hint="eastAsia" w:ascii="仿宋" w:hAnsi="仿宋" w:eastAsia="仿宋"/>
          <w:sz w:val="30"/>
          <w:szCs w:val="30"/>
        </w:rPr>
      </w:pPr>
      <w:bookmarkStart w:id="35" w:name="_Toc4627"/>
      <w:r>
        <w:rPr>
          <w:rFonts w:hint="eastAsia" w:ascii="仿宋" w:hAnsi="仿宋" w:eastAsia="仿宋"/>
          <w:sz w:val="30"/>
          <w:szCs w:val="30"/>
        </w:rPr>
        <w:t>3</w:t>
      </w:r>
      <w:r>
        <w:rPr>
          <w:rFonts w:ascii="仿宋" w:hAnsi="仿宋" w:eastAsia="仿宋"/>
          <w:sz w:val="30"/>
          <w:szCs w:val="30"/>
        </w:rPr>
        <w:t>.</w:t>
      </w:r>
      <w:r>
        <w:rPr>
          <w:rFonts w:hint="eastAsia" w:ascii="仿宋" w:hAnsi="仿宋" w:eastAsia="仿宋"/>
          <w:sz w:val="30"/>
          <w:szCs w:val="30"/>
          <w:lang w:val="en-US" w:eastAsia="zh-CN"/>
        </w:rPr>
        <w:t>2</w:t>
      </w:r>
      <w:r>
        <w:rPr>
          <w:rFonts w:ascii="仿宋" w:hAnsi="仿宋" w:eastAsia="仿宋"/>
          <w:sz w:val="30"/>
          <w:szCs w:val="30"/>
        </w:rPr>
        <w:t>成绩并列排序方法</w:t>
      </w:r>
      <w:bookmarkEnd w:id="35"/>
    </w:p>
    <w:p w14:paraId="72134A72">
      <w:pPr>
        <w:widowControl/>
        <w:spacing w:line="360" w:lineRule="auto"/>
        <w:ind w:firstLine="560" w:firstLineChars="200"/>
        <w:jc w:val="lef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（1）优先依据决赛总成绩由高到低排名；</w:t>
      </w:r>
    </w:p>
    <w:p w14:paraId="60EF7FB8">
      <w:pPr>
        <w:widowControl/>
        <w:spacing w:line="360" w:lineRule="auto"/>
        <w:ind w:firstLine="560" w:firstLineChars="200"/>
        <w:jc w:val="lef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（2）总成绩相同时，实操总用时更少者名次靠前；</w:t>
      </w:r>
    </w:p>
    <w:p w14:paraId="637AA3B2">
      <w:pPr>
        <w:widowControl/>
        <w:spacing w:line="360" w:lineRule="auto"/>
        <w:ind w:firstLine="560" w:firstLineChars="200"/>
        <w:jc w:val="lef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（3）总成绩、总用时全部一致，依次对比折算分模块B（酵素洗）→模块A（化料配制），单项高分者排名靠前；</w:t>
      </w:r>
    </w:p>
    <w:p w14:paraId="29BA8D05">
      <w:pPr>
        <w:widowControl/>
        <w:spacing w:line="360" w:lineRule="auto"/>
        <w:ind w:firstLine="560" w:firstLineChars="200"/>
        <w:jc w:val="left"/>
        <w:rPr>
          <w:rFonts w:hint="eastAsia" w:ascii="仿宋" w:hAnsi="仿宋" w:eastAsia="仿宋" w:cs="仿宋"/>
          <w:color w:val="000000"/>
          <w:kern w:val="0"/>
          <w:sz w:val="28"/>
          <w:szCs w:val="28"/>
          <w:lang w:eastAsia="zh-CN" w:bidi="ar"/>
        </w:rPr>
      </w:pPr>
      <w:r>
        <w:rPr>
          <w:rFonts w:hint="eastAsia" w:ascii="仿宋" w:hAnsi="仿宋" w:eastAsia="仿宋" w:cs="仿宋"/>
          <w:color w:val="000000"/>
          <w:kern w:val="0"/>
          <w:sz w:val="28"/>
          <w:szCs w:val="28"/>
          <w:lang w:bidi="ar"/>
        </w:rPr>
        <w:t>（4）全部模块分数、用时完全相同，</w:t>
      </w:r>
      <w:r>
        <w:rPr>
          <w:rFonts w:hint="eastAsia" w:ascii="仿宋" w:hAnsi="仿宋" w:eastAsia="仿宋" w:cs="仿宋"/>
          <w:color w:val="000000"/>
          <w:kern w:val="0"/>
          <w:sz w:val="28"/>
          <w:szCs w:val="28"/>
          <w:lang w:eastAsia="zh-CN" w:bidi="ar"/>
        </w:rPr>
        <w:t>依据环保要求按模块</w:t>
      </w:r>
      <w:r>
        <w:rPr>
          <w:rFonts w:hint="eastAsia" w:ascii="仿宋" w:hAnsi="仿宋" w:eastAsia="仿宋" w:cs="仿宋"/>
          <w:color w:val="000000"/>
          <w:kern w:val="0"/>
          <w:sz w:val="28"/>
          <w:szCs w:val="28"/>
          <w:lang w:val="en-US" w:eastAsia="zh-CN" w:bidi="ar"/>
        </w:rPr>
        <w:t>B调配用料用水多少排序</w:t>
      </w:r>
      <w:r>
        <w:rPr>
          <w:rFonts w:hint="eastAsia" w:ascii="仿宋" w:hAnsi="仿宋" w:eastAsia="仿宋" w:cs="仿宋"/>
          <w:color w:val="000000"/>
          <w:kern w:val="0"/>
          <w:sz w:val="28"/>
          <w:szCs w:val="28"/>
          <w:lang w:bidi="ar"/>
        </w:rPr>
        <w:t>，</w:t>
      </w:r>
      <w:r>
        <w:rPr>
          <w:rFonts w:hint="eastAsia" w:ascii="仿宋" w:hAnsi="仿宋" w:eastAsia="仿宋" w:cs="仿宋"/>
          <w:color w:val="000000"/>
          <w:kern w:val="0"/>
          <w:sz w:val="28"/>
          <w:szCs w:val="28"/>
          <w:lang w:eastAsia="zh-CN" w:bidi="ar"/>
        </w:rPr>
        <w:t>用料用水越少名次越高</w:t>
      </w:r>
      <w:r>
        <w:rPr>
          <w:rFonts w:hint="eastAsia" w:ascii="仿宋" w:hAnsi="仿宋" w:eastAsia="仿宋" w:cs="仿宋"/>
          <w:color w:val="000000"/>
          <w:kern w:val="0"/>
          <w:sz w:val="28"/>
          <w:szCs w:val="28"/>
          <w:lang w:bidi="ar"/>
        </w:rPr>
        <w:t>。</w:t>
      </w:r>
      <w:r>
        <w:rPr>
          <w:rFonts w:hint="eastAsia" w:ascii="仿宋" w:hAnsi="仿宋" w:eastAsia="仿宋" w:cs="仿宋"/>
          <w:color w:val="000000"/>
          <w:kern w:val="0"/>
          <w:sz w:val="28"/>
          <w:szCs w:val="28"/>
          <w:lang w:eastAsia="zh-CN" w:bidi="ar"/>
        </w:rPr>
        <w:t>（水料与粉料按</w:t>
      </w:r>
      <w:r>
        <w:rPr>
          <w:rFonts w:hint="eastAsia" w:ascii="仿宋" w:hAnsi="仿宋" w:eastAsia="仿宋" w:cs="仿宋"/>
          <w:color w:val="000000"/>
          <w:kern w:val="0"/>
          <w:sz w:val="28"/>
          <w:szCs w:val="28"/>
          <w:lang w:val="en-US" w:eastAsia="zh-CN" w:bidi="ar"/>
        </w:rPr>
        <w:t>100:15比例换算</w:t>
      </w:r>
      <w:r>
        <w:rPr>
          <w:rFonts w:hint="eastAsia" w:ascii="仿宋" w:hAnsi="仿宋" w:eastAsia="仿宋" w:cs="仿宋"/>
          <w:color w:val="000000"/>
          <w:kern w:val="0"/>
          <w:sz w:val="28"/>
          <w:szCs w:val="28"/>
          <w:lang w:eastAsia="zh-CN" w:bidi="ar"/>
        </w:rPr>
        <w:t>）。</w:t>
      </w:r>
    </w:p>
    <w:p w14:paraId="408014CB">
      <w:pPr>
        <w:pStyle w:val="3"/>
        <w:adjustRightInd w:val="0"/>
        <w:snapToGrid w:val="0"/>
        <w:spacing w:line="360" w:lineRule="auto"/>
        <w:rPr>
          <w:rFonts w:hint="eastAsia" w:ascii="仿宋" w:hAnsi="仿宋" w:eastAsia="仿宋"/>
          <w:sz w:val="30"/>
          <w:szCs w:val="30"/>
        </w:rPr>
      </w:pPr>
      <w:bookmarkStart w:id="36" w:name="_Toc6848"/>
      <w:bookmarkStart w:id="37" w:name="_Toc530340411"/>
      <w:r>
        <w:rPr>
          <w:rFonts w:hint="eastAsia" w:ascii="仿宋" w:hAnsi="仿宋" w:eastAsia="仿宋"/>
          <w:sz w:val="30"/>
          <w:szCs w:val="30"/>
        </w:rPr>
        <w:t>3</w:t>
      </w:r>
      <w:r>
        <w:rPr>
          <w:rFonts w:ascii="仿宋" w:hAnsi="仿宋" w:eastAsia="仿宋"/>
          <w:sz w:val="30"/>
          <w:szCs w:val="30"/>
        </w:rPr>
        <w:t>.</w:t>
      </w:r>
      <w:r>
        <w:rPr>
          <w:rFonts w:hint="eastAsia" w:ascii="仿宋" w:hAnsi="仿宋" w:eastAsia="仿宋"/>
          <w:sz w:val="30"/>
          <w:szCs w:val="30"/>
          <w:lang w:val="en-US" w:eastAsia="zh-CN"/>
        </w:rPr>
        <w:t>3</w:t>
      </w:r>
      <w:r>
        <w:rPr>
          <w:rFonts w:hint="eastAsia" w:ascii="仿宋" w:hAnsi="仿宋" w:eastAsia="仿宋"/>
          <w:sz w:val="30"/>
          <w:szCs w:val="30"/>
        </w:rPr>
        <w:t>裁判构成和分组</w:t>
      </w:r>
      <w:bookmarkEnd w:id="36"/>
      <w:bookmarkEnd w:id="37"/>
    </w:p>
    <w:p w14:paraId="3C732F15">
      <w:pPr>
        <w:adjustRightInd w:val="0"/>
        <w:snapToGrid w:val="0"/>
        <w:spacing w:line="360" w:lineRule="auto"/>
        <w:rPr>
          <w:rFonts w:hint="eastAsia" w:ascii="仿宋" w:hAnsi="仿宋" w:eastAsia="仿宋" w:cs="宋体"/>
          <w:b/>
          <w:bCs/>
          <w:sz w:val="30"/>
          <w:szCs w:val="30"/>
        </w:rPr>
      </w:pPr>
      <w:r>
        <w:rPr>
          <w:rFonts w:hint="eastAsia" w:ascii="仿宋" w:hAnsi="仿宋" w:eastAsia="仿宋"/>
          <w:b/>
          <w:bCs/>
          <w:sz w:val="30"/>
          <w:szCs w:val="30"/>
        </w:rPr>
        <w:t>3</w:t>
      </w:r>
      <w:r>
        <w:rPr>
          <w:rFonts w:ascii="仿宋" w:hAnsi="仿宋" w:eastAsia="仿宋"/>
          <w:b/>
          <w:bCs/>
          <w:sz w:val="30"/>
          <w:szCs w:val="30"/>
        </w:rPr>
        <w:t>.</w:t>
      </w:r>
      <w:r>
        <w:rPr>
          <w:rFonts w:hint="eastAsia" w:ascii="仿宋" w:hAnsi="仿宋" w:eastAsia="仿宋"/>
          <w:b/>
          <w:bCs/>
          <w:sz w:val="30"/>
          <w:szCs w:val="30"/>
          <w:lang w:val="en-US" w:eastAsia="zh-CN"/>
        </w:rPr>
        <w:t>3</w:t>
      </w:r>
      <w:r>
        <w:rPr>
          <w:rFonts w:ascii="仿宋" w:hAnsi="仿宋" w:eastAsia="仿宋"/>
          <w:b/>
          <w:bCs/>
          <w:sz w:val="30"/>
          <w:szCs w:val="30"/>
        </w:rPr>
        <w:t>.1</w:t>
      </w:r>
      <w:r>
        <w:rPr>
          <w:rFonts w:hint="eastAsia" w:ascii="仿宋" w:hAnsi="仿宋" w:eastAsia="仿宋"/>
          <w:b/>
          <w:bCs/>
          <w:sz w:val="30"/>
          <w:szCs w:val="30"/>
        </w:rPr>
        <w:t>裁判组</w:t>
      </w:r>
    </w:p>
    <w:p w14:paraId="7AEA6A70">
      <w:pPr>
        <w:adjustRightInd w:val="0"/>
        <w:snapToGrid w:val="0"/>
        <w:spacing w:line="360" w:lineRule="auto"/>
        <w:ind w:firstLine="482"/>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设置1名裁判长（第三方行业高级工程师/高级技师，独立于所有参赛单位），下设若干裁判小组，每组3名裁判员（考评人员与选手配比不低于1:5，且为3人以上单数）；选手工位赛前随机抽签分配，裁判执裁工位由裁判长现场抽签确定，全程轮换，杜绝固定工位执裁。</w:t>
      </w:r>
    </w:p>
    <w:p w14:paraId="1B50AC3A">
      <w:pPr>
        <w:adjustRightInd w:val="0"/>
        <w:snapToGrid w:val="0"/>
        <w:spacing w:line="360" w:lineRule="auto"/>
        <w:rPr>
          <w:rFonts w:hint="eastAsia" w:ascii="仿宋" w:hAnsi="仿宋" w:eastAsia="仿宋" w:cs="宋体"/>
          <w:b/>
          <w:bCs/>
          <w:sz w:val="30"/>
          <w:szCs w:val="30"/>
        </w:rPr>
      </w:pPr>
      <w:r>
        <w:rPr>
          <w:rFonts w:hint="eastAsia" w:ascii="仿宋" w:hAnsi="仿宋" w:eastAsia="仿宋"/>
          <w:b/>
          <w:bCs/>
          <w:sz w:val="30"/>
          <w:szCs w:val="30"/>
        </w:rPr>
        <w:t>3</w:t>
      </w:r>
      <w:r>
        <w:rPr>
          <w:rFonts w:ascii="仿宋" w:hAnsi="仿宋" w:eastAsia="仿宋"/>
          <w:b/>
          <w:bCs/>
          <w:sz w:val="30"/>
          <w:szCs w:val="30"/>
        </w:rPr>
        <w:t>.</w:t>
      </w:r>
      <w:r>
        <w:rPr>
          <w:rFonts w:hint="eastAsia" w:ascii="仿宋" w:hAnsi="仿宋" w:eastAsia="仿宋"/>
          <w:b/>
          <w:bCs/>
          <w:sz w:val="30"/>
          <w:szCs w:val="30"/>
          <w:lang w:val="en-US" w:eastAsia="zh-CN"/>
        </w:rPr>
        <w:t>3</w:t>
      </w:r>
      <w:r>
        <w:rPr>
          <w:rFonts w:ascii="仿宋" w:hAnsi="仿宋" w:eastAsia="仿宋"/>
          <w:b/>
          <w:bCs/>
          <w:sz w:val="30"/>
          <w:szCs w:val="30"/>
        </w:rPr>
        <w:t>.2</w:t>
      </w:r>
      <w:r>
        <w:rPr>
          <w:rFonts w:hint="eastAsia" w:ascii="仿宋" w:hAnsi="仿宋" w:eastAsia="仿宋"/>
          <w:b/>
          <w:bCs/>
          <w:sz w:val="30"/>
          <w:szCs w:val="30"/>
        </w:rPr>
        <w:t>裁判任职条件</w:t>
      </w:r>
    </w:p>
    <w:p w14:paraId="19522AE1">
      <w:pPr>
        <w:adjustRightInd w:val="0"/>
        <w:snapToGrid w:val="0"/>
        <w:spacing w:line="360" w:lineRule="auto"/>
        <w:ind w:firstLine="482"/>
        <w:rPr>
          <w:rFonts w:hint="eastAsia" w:ascii="仿宋" w:hAnsi="仿宋" w:eastAsia="仿宋" w:cs="宋体"/>
          <w:kern w:val="0"/>
          <w:sz w:val="28"/>
          <w:szCs w:val="28"/>
        </w:rPr>
      </w:pPr>
      <w:r>
        <w:rPr>
          <w:rFonts w:hint="eastAsia" w:ascii="仿宋" w:hAnsi="仿宋" w:eastAsia="仿宋" w:cs="宋体"/>
          <w:kern w:val="0"/>
          <w:sz w:val="28"/>
          <w:szCs w:val="28"/>
        </w:rPr>
        <w:t>裁判应</w:t>
      </w:r>
      <w:r>
        <w:rPr>
          <w:rFonts w:ascii="仿宋" w:hAnsi="仿宋" w:eastAsia="仿宋" w:cs="宋体"/>
          <w:kern w:val="0"/>
          <w:sz w:val="28"/>
          <w:szCs w:val="28"/>
        </w:rPr>
        <w:t>具有良好的心理、身体素质，身体健康，原则上年龄不超过60岁</w:t>
      </w:r>
      <w:r>
        <w:rPr>
          <w:rFonts w:hint="eastAsia" w:ascii="仿宋" w:hAnsi="仿宋" w:eastAsia="仿宋" w:cs="宋体"/>
          <w:kern w:val="0"/>
          <w:sz w:val="28"/>
          <w:szCs w:val="28"/>
        </w:rPr>
        <w:t>，</w:t>
      </w:r>
      <w:r>
        <w:rPr>
          <w:rFonts w:ascii="仿宋" w:hAnsi="仿宋" w:eastAsia="仿宋" w:cs="宋体"/>
          <w:kern w:val="0"/>
          <w:sz w:val="28"/>
          <w:szCs w:val="28"/>
        </w:rPr>
        <w:t>且</w:t>
      </w:r>
      <w:r>
        <w:rPr>
          <w:rFonts w:hint="eastAsia" w:ascii="仿宋" w:hAnsi="仿宋" w:eastAsia="仿宋" w:cs="宋体"/>
          <w:kern w:val="0"/>
          <w:sz w:val="28"/>
          <w:szCs w:val="28"/>
        </w:rPr>
        <w:t>满足以下条件之一：</w:t>
      </w:r>
    </w:p>
    <w:p w14:paraId="12A5B352">
      <w:pPr>
        <w:adjustRightInd w:val="0"/>
        <w:snapToGrid w:val="0"/>
        <w:spacing w:line="360" w:lineRule="auto"/>
        <w:ind w:firstLine="482"/>
        <w:rPr>
          <w:rFonts w:hint="eastAsia" w:ascii="仿宋" w:hAnsi="仿宋" w:eastAsia="仿宋" w:cs="宋体"/>
          <w:kern w:val="0"/>
          <w:sz w:val="28"/>
          <w:szCs w:val="28"/>
        </w:rPr>
      </w:pPr>
      <w:r>
        <w:rPr>
          <w:rFonts w:hint="eastAsia" w:ascii="仿宋" w:hAnsi="仿宋" w:eastAsia="仿宋" w:cs="宋体"/>
          <w:kern w:val="0"/>
          <w:sz w:val="28"/>
          <w:szCs w:val="28"/>
        </w:rPr>
        <w:t>（1）</w:t>
      </w:r>
      <w:r>
        <w:rPr>
          <w:rFonts w:ascii="仿宋" w:hAnsi="仿宋" w:eastAsia="仿宋" w:cs="宋体"/>
          <w:kern w:val="0"/>
          <w:sz w:val="28"/>
          <w:szCs w:val="28"/>
        </w:rPr>
        <w:t>了解掌握职业技能竞赛政策、工作规则和裁判方法，能准确、熟练运用</w:t>
      </w:r>
      <w:r>
        <w:rPr>
          <w:rFonts w:hint="eastAsia" w:ascii="仿宋" w:hAnsi="仿宋" w:eastAsia="仿宋" w:cs="宋体"/>
          <w:kern w:val="0"/>
          <w:sz w:val="28"/>
          <w:szCs w:val="28"/>
        </w:rPr>
        <w:t>，</w:t>
      </w:r>
      <w:r>
        <w:rPr>
          <w:rFonts w:ascii="仿宋" w:hAnsi="仿宋" w:eastAsia="仿宋" w:cs="宋体"/>
          <w:kern w:val="0"/>
          <w:sz w:val="28"/>
          <w:szCs w:val="28"/>
        </w:rPr>
        <w:t>参与过</w:t>
      </w:r>
      <w:r>
        <w:rPr>
          <w:rFonts w:hint="eastAsia" w:ascii="仿宋" w:hAnsi="仿宋" w:eastAsia="仿宋" w:cs="宋体"/>
          <w:kern w:val="0"/>
          <w:sz w:val="28"/>
          <w:szCs w:val="28"/>
        </w:rPr>
        <w:t>市级及以上</w:t>
      </w:r>
      <w:r>
        <w:rPr>
          <w:rFonts w:ascii="仿宋" w:hAnsi="仿宋" w:eastAsia="仿宋" w:cs="宋体"/>
          <w:kern w:val="0"/>
          <w:sz w:val="28"/>
          <w:szCs w:val="28"/>
        </w:rPr>
        <w:t>职业技能竞赛执裁或其他技术</w:t>
      </w:r>
      <w:r>
        <w:rPr>
          <w:rFonts w:hint="eastAsia" w:ascii="仿宋" w:hAnsi="仿宋" w:eastAsia="仿宋" w:cs="宋体"/>
          <w:kern w:val="0"/>
          <w:sz w:val="28"/>
          <w:szCs w:val="28"/>
        </w:rPr>
        <w:t>指导</w:t>
      </w:r>
      <w:r>
        <w:rPr>
          <w:rFonts w:ascii="仿宋" w:hAnsi="仿宋" w:eastAsia="仿宋" w:cs="宋体"/>
          <w:kern w:val="0"/>
          <w:sz w:val="28"/>
          <w:szCs w:val="28"/>
        </w:rPr>
        <w:t>工作。</w:t>
      </w:r>
    </w:p>
    <w:p w14:paraId="1565788E">
      <w:pPr>
        <w:adjustRightInd w:val="0"/>
        <w:snapToGrid w:val="0"/>
        <w:spacing w:line="360" w:lineRule="auto"/>
        <w:ind w:firstLine="482"/>
        <w:rPr>
          <w:rFonts w:hint="eastAsia" w:ascii="仿宋" w:hAnsi="仿宋" w:eastAsia="仿宋" w:cs="宋体"/>
          <w:kern w:val="0"/>
          <w:sz w:val="28"/>
          <w:szCs w:val="28"/>
        </w:rPr>
      </w:pPr>
      <w:r>
        <w:rPr>
          <w:rFonts w:hint="eastAsia" w:ascii="仿宋" w:hAnsi="仿宋" w:eastAsia="仿宋" w:cs="宋体"/>
          <w:kern w:val="0"/>
          <w:sz w:val="28"/>
          <w:szCs w:val="28"/>
        </w:rPr>
        <w:t>（2）具有</w:t>
      </w:r>
      <w:r>
        <w:rPr>
          <w:rFonts w:hint="eastAsia" w:ascii="仿宋" w:hAnsi="仿宋" w:eastAsia="仿宋" w:cs="宋体"/>
          <w:kern w:val="0"/>
          <w:sz w:val="28"/>
          <w:szCs w:val="28"/>
          <w:lang w:eastAsia="zh-CN"/>
        </w:rPr>
        <w:t>服装水洗工</w:t>
      </w:r>
      <w:r>
        <w:rPr>
          <w:rFonts w:hint="eastAsia" w:ascii="仿宋" w:hAnsi="仿宋" w:eastAsia="仿宋" w:cs="宋体"/>
          <w:kern w:val="0"/>
          <w:sz w:val="28"/>
          <w:szCs w:val="28"/>
        </w:rPr>
        <w:t>二级（技师）及以上技能等级证书，或纺织工程副高级及以上专业技术职称；</w:t>
      </w:r>
    </w:p>
    <w:p w14:paraId="608C2D56">
      <w:pPr>
        <w:adjustRightInd w:val="0"/>
        <w:snapToGrid w:val="0"/>
        <w:spacing w:line="360" w:lineRule="auto"/>
        <w:ind w:firstLine="482"/>
        <w:rPr>
          <w:rFonts w:hint="eastAsia" w:ascii="仿宋" w:hAnsi="仿宋" w:eastAsia="仿宋" w:cs="宋体"/>
          <w:kern w:val="0"/>
          <w:sz w:val="28"/>
          <w:szCs w:val="28"/>
        </w:rPr>
      </w:pPr>
      <w:r>
        <w:rPr>
          <w:rFonts w:hint="eastAsia" w:ascii="仿宋" w:hAnsi="仿宋" w:eastAsia="仿宋" w:cs="宋体"/>
          <w:kern w:val="0"/>
          <w:sz w:val="28"/>
          <w:szCs w:val="28"/>
        </w:rPr>
        <w:t>（3）曾获得市级及以上技术能手等荣</w:t>
      </w:r>
      <w:r>
        <w:rPr>
          <w:rFonts w:ascii="仿宋" w:hAnsi="仿宋" w:eastAsia="仿宋" w:cs="宋体"/>
          <w:kern w:val="0"/>
          <w:sz w:val="28"/>
          <w:szCs w:val="28"/>
        </w:rPr>
        <w:t>誉</w:t>
      </w:r>
      <w:r>
        <w:rPr>
          <w:rFonts w:hint="eastAsia" w:ascii="仿宋" w:hAnsi="仿宋" w:eastAsia="仿宋" w:cs="宋体"/>
          <w:kern w:val="0"/>
          <w:sz w:val="28"/>
          <w:szCs w:val="28"/>
        </w:rPr>
        <w:t>称号。</w:t>
      </w:r>
    </w:p>
    <w:p w14:paraId="5D7E074A">
      <w:pPr>
        <w:adjustRightInd w:val="0"/>
        <w:snapToGrid w:val="0"/>
        <w:spacing w:line="360" w:lineRule="auto"/>
        <w:ind w:firstLine="482"/>
        <w:rPr>
          <w:rFonts w:hint="eastAsia" w:ascii="仿宋" w:hAnsi="仿宋" w:eastAsia="仿宋" w:cs="宋体"/>
          <w:kern w:val="0"/>
          <w:sz w:val="28"/>
          <w:szCs w:val="28"/>
        </w:rPr>
      </w:pPr>
      <w:r>
        <w:rPr>
          <w:rFonts w:hint="eastAsia" w:ascii="仿宋" w:hAnsi="仿宋" w:eastAsia="仿宋" w:cs="宋体"/>
          <w:kern w:val="0"/>
          <w:sz w:val="28"/>
          <w:szCs w:val="28"/>
        </w:rPr>
        <w:t>裁判员要求遵守竞赛规则，具有良好的职业素质和裁判素质，遵守比赛纪律和各项道德规范，并能听从裁判长的安排进行工作。赛前，裁判要经过培训比赛规则、评分方法、技术标准后才能从事工作。</w:t>
      </w:r>
    </w:p>
    <w:p w14:paraId="4A72A481">
      <w:pPr>
        <w:adjustRightInd w:val="0"/>
        <w:snapToGrid w:val="0"/>
        <w:spacing w:line="360" w:lineRule="auto"/>
        <w:rPr>
          <w:rFonts w:hint="eastAsia" w:ascii="仿宋" w:hAnsi="仿宋" w:eastAsia="仿宋" w:cs="宋体"/>
          <w:b/>
          <w:bCs/>
          <w:sz w:val="30"/>
          <w:szCs w:val="30"/>
        </w:rPr>
      </w:pPr>
      <w:r>
        <w:rPr>
          <w:rFonts w:hint="eastAsia" w:ascii="仿宋" w:hAnsi="仿宋" w:eastAsia="仿宋"/>
          <w:b/>
          <w:bCs/>
          <w:sz w:val="30"/>
          <w:szCs w:val="30"/>
        </w:rPr>
        <w:t>3</w:t>
      </w:r>
      <w:r>
        <w:rPr>
          <w:rFonts w:ascii="仿宋" w:hAnsi="仿宋" w:eastAsia="仿宋"/>
          <w:b/>
          <w:bCs/>
          <w:sz w:val="30"/>
          <w:szCs w:val="30"/>
        </w:rPr>
        <w:t>.</w:t>
      </w:r>
      <w:r>
        <w:rPr>
          <w:rFonts w:hint="eastAsia" w:ascii="仿宋" w:hAnsi="仿宋" w:eastAsia="仿宋"/>
          <w:b/>
          <w:bCs/>
          <w:sz w:val="30"/>
          <w:szCs w:val="30"/>
          <w:lang w:val="en-US" w:eastAsia="zh-CN"/>
        </w:rPr>
        <w:t>3</w:t>
      </w:r>
      <w:r>
        <w:rPr>
          <w:rFonts w:ascii="仿宋" w:hAnsi="仿宋" w:eastAsia="仿宋"/>
          <w:b/>
          <w:bCs/>
          <w:sz w:val="30"/>
          <w:szCs w:val="30"/>
        </w:rPr>
        <w:t>.</w:t>
      </w:r>
      <w:r>
        <w:rPr>
          <w:rFonts w:hint="eastAsia" w:ascii="仿宋" w:hAnsi="仿宋" w:eastAsia="仿宋"/>
          <w:b/>
          <w:bCs/>
          <w:sz w:val="30"/>
          <w:szCs w:val="30"/>
        </w:rPr>
        <w:t>3裁判职责</w:t>
      </w:r>
    </w:p>
    <w:p w14:paraId="7D167F9E">
      <w:pPr>
        <w:adjustRightInd w:val="0"/>
        <w:snapToGrid w:val="0"/>
        <w:spacing w:line="360" w:lineRule="auto"/>
        <w:ind w:firstLine="482"/>
        <w:rPr>
          <w:rFonts w:hint="eastAsia" w:ascii="仿宋" w:hAnsi="仿宋" w:eastAsia="仿宋" w:cs="宋体"/>
          <w:kern w:val="0"/>
          <w:sz w:val="28"/>
          <w:szCs w:val="28"/>
        </w:rPr>
      </w:pPr>
      <w:r>
        <w:rPr>
          <w:rFonts w:hint="eastAsia" w:ascii="仿宋" w:hAnsi="仿宋" w:eastAsia="仿宋" w:cs="宋体"/>
          <w:kern w:val="0"/>
          <w:sz w:val="28"/>
          <w:szCs w:val="28"/>
        </w:rPr>
        <w:t>裁判长：统筹全部执裁工作，处理赛场争议、调整评分、审批违规处理、签署全部成绩文件；</w:t>
      </w:r>
    </w:p>
    <w:p w14:paraId="10B20730">
      <w:pPr>
        <w:adjustRightInd w:val="0"/>
        <w:snapToGrid w:val="0"/>
        <w:spacing w:line="360" w:lineRule="auto"/>
        <w:ind w:firstLine="482"/>
        <w:rPr>
          <w:rFonts w:hint="eastAsia" w:ascii="仿宋" w:hAnsi="仿宋" w:eastAsia="仿宋" w:cs="宋体"/>
          <w:kern w:val="0"/>
          <w:sz w:val="28"/>
          <w:szCs w:val="28"/>
        </w:rPr>
      </w:pPr>
      <w:r>
        <w:rPr>
          <w:rFonts w:hint="eastAsia" w:ascii="仿宋" w:hAnsi="仿宋" w:eastAsia="仿宋" w:cs="宋体"/>
          <w:kern w:val="0"/>
          <w:sz w:val="28"/>
          <w:szCs w:val="28"/>
        </w:rPr>
        <w:t>现场裁判员：工位现场打分、记录操作细节、制止选手违规、上报设备故障、协助安全应急处置。</w:t>
      </w:r>
    </w:p>
    <w:p w14:paraId="2C84A8B1">
      <w:pPr>
        <w:pStyle w:val="2"/>
        <w:adjustRightInd w:val="0"/>
        <w:snapToGrid w:val="0"/>
        <w:spacing w:beforeLines="0" w:afterLines="0" w:line="360" w:lineRule="auto"/>
        <w:rPr>
          <w:rFonts w:hint="eastAsia" w:ascii="仿宋" w:hAnsi="仿宋" w:eastAsia="仿宋"/>
          <w:sz w:val="32"/>
          <w:szCs w:val="32"/>
        </w:rPr>
      </w:pPr>
      <w:bookmarkStart w:id="38" w:name="_Toc530340412"/>
      <w:bookmarkStart w:id="39" w:name="_Toc25292"/>
      <w:bookmarkStart w:id="40" w:name="_Toc481314008"/>
      <w:r>
        <w:rPr>
          <w:rFonts w:hint="eastAsia" w:ascii="仿宋" w:hAnsi="仿宋" w:eastAsia="仿宋"/>
          <w:sz w:val="32"/>
          <w:szCs w:val="32"/>
        </w:rPr>
        <w:t>4</w:t>
      </w:r>
      <w:r>
        <w:rPr>
          <w:rFonts w:ascii="仿宋" w:hAnsi="仿宋" w:eastAsia="仿宋"/>
          <w:sz w:val="32"/>
          <w:szCs w:val="32"/>
        </w:rPr>
        <w:t>.</w:t>
      </w:r>
      <w:r>
        <w:rPr>
          <w:rFonts w:hint="eastAsia" w:ascii="仿宋" w:hAnsi="仿宋" w:eastAsia="仿宋"/>
          <w:sz w:val="32"/>
          <w:szCs w:val="32"/>
        </w:rPr>
        <w:t>项目特别规定</w:t>
      </w:r>
      <w:bookmarkEnd w:id="38"/>
      <w:bookmarkEnd w:id="39"/>
      <w:bookmarkEnd w:id="40"/>
    </w:p>
    <w:p w14:paraId="57AB9C73">
      <w:pPr>
        <w:adjustRightInd w:val="0"/>
        <w:snapToGrid w:val="0"/>
        <w:spacing w:line="360" w:lineRule="auto"/>
        <w:ind w:firstLine="482"/>
        <w:rPr>
          <w:rFonts w:hint="eastAsia" w:ascii="仿宋" w:hAnsi="仿宋" w:eastAsia="仿宋" w:cs="宋体"/>
          <w:kern w:val="0"/>
          <w:sz w:val="28"/>
          <w:szCs w:val="28"/>
        </w:rPr>
      </w:pPr>
      <w:bookmarkStart w:id="41" w:name="_Toc481314009"/>
      <w:r>
        <w:rPr>
          <w:rFonts w:hint="eastAsia" w:ascii="仿宋" w:hAnsi="仿宋" w:eastAsia="仿宋" w:cs="宋体"/>
          <w:kern w:val="0"/>
          <w:sz w:val="28"/>
          <w:szCs w:val="28"/>
        </w:rPr>
        <w:t>（1）选手全程穿戴专业洗水工装、防滑劳保鞋；接触腐蚀性、粉尘化料必须佩戴丁腈防护手套、护目镜、防尘口罩，长发盘起佩戴工作头帽，未按规范防护单次扣5分；</w:t>
      </w:r>
    </w:p>
    <w:p w14:paraId="72120A4D">
      <w:pPr>
        <w:adjustRightInd w:val="0"/>
        <w:snapToGrid w:val="0"/>
        <w:spacing w:line="360" w:lineRule="auto"/>
        <w:ind w:firstLine="482"/>
        <w:rPr>
          <w:rFonts w:hint="eastAsia" w:ascii="仿宋" w:hAnsi="仿宋" w:eastAsia="仿宋" w:cs="宋体"/>
          <w:kern w:val="0"/>
          <w:sz w:val="28"/>
          <w:szCs w:val="28"/>
          <w:lang w:eastAsia="zh-CN"/>
        </w:rPr>
      </w:pPr>
      <w:r>
        <w:rPr>
          <w:rFonts w:hint="eastAsia" w:ascii="仿宋" w:hAnsi="仿宋" w:eastAsia="仿宋" w:cs="宋体"/>
          <w:kern w:val="0"/>
          <w:sz w:val="28"/>
          <w:szCs w:val="28"/>
        </w:rPr>
        <w:t>（2）选手检录完成后抽签确定竞赛顺序、操作工位；</w:t>
      </w:r>
      <w:r>
        <w:rPr>
          <w:rFonts w:hint="eastAsia" w:ascii="仿宋" w:hAnsi="仿宋" w:eastAsia="仿宋" w:cs="宋体"/>
          <w:kern w:val="0"/>
          <w:sz w:val="28"/>
          <w:szCs w:val="28"/>
          <w:lang w:eastAsia="zh-CN"/>
        </w:rPr>
        <w:t>选手</w:t>
      </w:r>
      <w:r>
        <w:rPr>
          <w:rFonts w:hint="eastAsia" w:ascii="仿宋" w:hAnsi="仿宋" w:eastAsia="仿宋" w:cs="宋体"/>
          <w:kern w:val="0"/>
          <w:sz w:val="28"/>
          <w:szCs w:val="28"/>
        </w:rPr>
        <w:t>检查设备、清洗玻璃量具、清点赛场配发工具，禁止私自调试设备参数</w:t>
      </w:r>
      <w:r>
        <w:rPr>
          <w:rFonts w:hint="eastAsia" w:ascii="仿宋" w:hAnsi="仿宋" w:eastAsia="仿宋" w:cs="宋体"/>
          <w:kern w:val="0"/>
          <w:sz w:val="28"/>
          <w:szCs w:val="28"/>
          <w:lang w:eastAsia="zh-CN"/>
        </w:rPr>
        <w:t>。</w:t>
      </w:r>
    </w:p>
    <w:p w14:paraId="445C2F76">
      <w:pPr>
        <w:adjustRightInd w:val="0"/>
        <w:snapToGrid w:val="0"/>
        <w:spacing w:line="360" w:lineRule="auto"/>
        <w:ind w:firstLine="482"/>
        <w:rPr>
          <w:rFonts w:hint="eastAsia" w:ascii="仿宋" w:hAnsi="仿宋" w:eastAsia="仿宋" w:cs="宋体"/>
          <w:kern w:val="0"/>
          <w:sz w:val="28"/>
          <w:szCs w:val="28"/>
        </w:rPr>
      </w:pPr>
      <w:r>
        <w:rPr>
          <w:rFonts w:hint="eastAsia" w:ascii="仿宋" w:hAnsi="仿宋" w:eastAsia="仿宋" w:cs="宋体"/>
          <w:kern w:val="0"/>
          <w:sz w:val="28"/>
          <w:szCs w:val="28"/>
        </w:rPr>
        <w:t>（3）竞赛期间赛场电脑、洗水设备、化料、成衣、工具、作业书、评分表一律禁止带离工位；</w:t>
      </w:r>
    </w:p>
    <w:p w14:paraId="3AA86C9C">
      <w:pPr>
        <w:adjustRightInd w:val="0"/>
        <w:snapToGrid w:val="0"/>
        <w:spacing w:line="360" w:lineRule="auto"/>
        <w:ind w:firstLine="482"/>
        <w:rPr>
          <w:rFonts w:hint="eastAsia" w:ascii="仿宋" w:hAnsi="仿宋" w:eastAsia="仿宋" w:cs="宋体"/>
          <w:kern w:val="0"/>
          <w:sz w:val="28"/>
          <w:szCs w:val="28"/>
        </w:rPr>
      </w:pPr>
      <w:r>
        <w:rPr>
          <w:rFonts w:hint="eastAsia" w:ascii="仿宋" w:hAnsi="仿宋" w:eastAsia="仿宋" w:cs="宋体"/>
          <w:kern w:val="0"/>
          <w:sz w:val="28"/>
          <w:szCs w:val="28"/>
        </w:rPr>
        <w:t>（4）手机、智能手表、相机、U盘、存储设备全部禁止带入竞赛工位，统一存放至检录保管区；私自携带入场按作弊处理，扣除总成绩20分；</w:t>
      </w:r>
    </w:p>
    <w:p w14:paraId="2CDEB17B">
      <w:pPr>
        <w:adjustRightInd w:val="0"/>
        <w:snapToGrid w:val="0"/>
        <w:spacing w:line="360" w:lineRule="auto"/>
        <w:ind w:firstLine="482"/>
        <w:rPr>
          <w:rFonts w:hint="eastAsia" w:ascii="仿宋" w:hAnsi="仿宋" w:eastAsia="仿宋" w:cs="宋体"/>
          <w:kern w:val="0"/>
          <w:sz w:val="28"/>
          <w:szCs w:val="28"/>
        </w:rPr>
      </w:pPr>
      <w:r>
        <w:rPr>
          <w:rFonts w:hint="eastAsia" w:ascii="仿宋" w:hAnsi="仿宋" w:eastAsia="仿宋" w:cs="宋体"/>
          <w:kern w:val="0"/>
          <w:sz w:val="28"/>
          <w:szCs w:val="28"/>
          <w:lang w:val="en-US" w:eastAsia="zh-CN"/>
        </w:rPr>
        <w:t>5</w:t>
      </w:r>
      <w:r>
        <w:rPr>
          <w:rFonts w:hint="eastAsia" w:ascii="仿宋" w:hAnsi="仿宋" w:eastAsia="仿宋" w:cs="宋体"/>
          <w:kern w:val="0"/>
          <w:sz w:val="28"/>
          <w:szCs w:val="28"/>
        </w:rPr>
        <w:t>.除裁判长、本工位执裁裁判外，任何人不得靠近选手工位；选手疑问仅举手向现场裁判书面提问，选手之间互相交谈、传递物料直接警告并扣10分；</w:t>
      </w:r>
    </w:p>
    <w:p w14:paraId="4523E014">
      <w:pPr>
        <w:adjustRightInd w:val="0"/>
        <w:snapToGrid w:val="0"/>
        <w:spacing w:line="360" w:lineRule="auto"/>
        <w:ind w:firstLine="482"/>
        <w:rPr>
          <w:rFonts w:hint="eastAsia" w:ascii="仿宋" w:hAnsi="仿宋" w:eastAsia="仿宋" w:cs="宋体"/>
          <w:kern w:val="0"/>
          <w:sz w:val="28"/>
          <w:szCs w:val="28"/>
        </w:rPr>
      </w:pPr>
      <w:r>
        <w:rPr>
          <w:rFonts w:hint="eastAsia" w:ascii="仿宋" w:hAnsi="仿宋" w:eastAsia="仿宋" w:cs="宋体"/>
          <w:kern w:val="0"/>
          <w:sz w:val="28"/>
          <w:szCs w:val="28"/>
          <w:lang w:val="en-US" w:eastAsia="zh-CN"/>
        </w:rPr>
        <w:t>6</w:t>
      </w:r>
      <w:r>
        <w:rPr>
          <w:rFonts w:hint="eastAsia" w:ascii="仿宋" w:hAnsi="仿宋" w:eastAsia="仿宋" w:cs="宋体"/>
          <w:kern w:val="0"/>
          <w:sz w:val="28"/>
          <w:szCs w:val="28"/>
        </w:rPr>
        <w:t>.结束哨声响起立即停止所有操作，将成衣、工具、单据整齐摆放于工作台，有序退出工位，不得拖延操作；未经裁判长书面许可，不得延长比赛时长；</w:t>
      </w:r>
    </w:p>
    <w:p w14:paraId="55797156">
      <w:pPr>
        <w:adjustRightInd w:val="0"/>
        <w:snapToGrid w:val="0"/>
        <w:spacing w:line="360" w:lineRule="auto"/>
        <w:ind w:firstLine="482"/>
        <w:rPr>
          <w:rFonts w:hint="eastAsia" w:ascii="仿宋" w:hAnsi="仿宋" w:eastAsia="仿宋" w:cs="宋体"/>
          <w:kern w:val="0"/>
          <w:sz w:val="28"/>
          <w:szCs w:val="28"/>
        </w:rPr>
      </w:pPr>
      <w:r>
        <w:rPr>
          <w:rFonts w:hint="eastAsia" w:ascii="仿宋" w:hAnsi="仿宋" w:eastAsia="仿宋" w:cs="宋体"/>
          <w:kern w:val="0"/>
          <w:sz w:val="28"/>
          <w:szCs w:val="28"/>
          <w:lang w:val="en-US" w:eastAsia="zh-CN"/>
        </w:rPr>
        <w:t>7</w:t>
      </w:r>
      <w:r>
        <w:rPr>
          <w:rFonts w:hint="eastAsia" w:ascii="仿宋" w:hAnsi="仿宋" w:eastAsia="仿宋" w:cs="宋体"/>
          <w:kern w:val="0"/>
          <w:sz w:val="28"/>
          <w:szCs w:val="28"/>
        </w:rPr>
        <w:t>.选手仅允许在自身分配工位内操作，跨工位借用工具、物料必须经裁判长批准；</w:t>
      </w:r>
    </w:p>
    <w:p w14:paraId="40EDD079">
      <w:pPr>
        <w:adjustRightInd w:val="0"/>
        <w:snapToGrid w:val="0"/>
        <w:spacing w:line="360" w:lineRule="auto"/>
        <w:ind w:firstLine="482"/>
        <w:rPr>
          <w:rFonts w:hint="eastAsia" w:ascii="仿宋" w:hAnsi="仿宋" w:eastAsia="仿宋" w:cs="宋体"/>
          <w:kern w:val="0"/>
          <w:sz w:val="28"/>
          <w:szCs w:val="28"/>
        </w:rPr>
      </w:pPr>
      <w:r>
        <w:rPr>
          <w:rFonts w:hint="eastAsia" w:ascii="仿宋" w:hAnsi="仿宋" w:eastAsia="仿宋" w:cs="宋体"/>
          <w:kern w:val="0"/>
          <w:sz w:val="28"/>
          <w:szCs w:val="28"/>
          <w:lang w:val="en-US" w:eastAsia="zh-CN"/>
        </w:rPr>
        <w:t>8</w:t>
      </w:r>
      <w:r>
        <w:rPr>
          <w:rFonts w:hint="eastAsia" w:ascii="仿宋" w:hAnsi="仿宋" w:eastAsia="仿宋" w:cs="宋体"/>
          <w:kern w:val="0"/>
          <w:sz w:val="28"/>
          <w:szCs w:val="28"/>
        </w:rPr>
        <w:t>.比赛期间无特殊情况不得离开工位；突发身体不适、紧急需求需告知现场裁判，填写离场登记，离场时段不计补时；</w:t>
      </w:r>
    </w:p>
    <w:p w14:paraId="546AD5F3">
      <w:pPr>
        <w:adjustRightInd w:val="0"/>
        <w:snapToGrid w:val="0"/>
        <w:spacing w:line="360" w:lineRule="auto"/>
        <w:ind w:firstLine="482"/>
        <w:rPr>
          <w:rFonts w:hint="eastAsia" w:ascii="仿宋" w:hAnsi="仿宋" w:eastAsia="仿宋" w:cs="宋体"/>
          <w:kern w:val="0"/>
          <w:sz w:val="28"/>
          <w:szCs w:val="28"/>
        </w:rPr>
      </w:pPr>
      <w:r>
        <w:rPr>
          <w:rFonts w:hint="eastAsia" w:ascii="仿宋" w:hAnsi="仿宋" w:eastAsia="仿宋" w:cs="宋体"/>
          <w:kern w:val="0"/>
          <w:sz w:val="28"/>
          <w:szCs w:val="28"/>
          <w:lang w:val="en-US" w:eastAsia="zh-CN"/>
        </w:rPr>
        <w:t>9</w:t>
      </w:r>
      <w:r>
        <w:rPr>
          <w:rFonts w:hint="eastAsia" w:ascii="仿宋" w:hAnsi="仿宋" w:eastAsia="仿宋" w:cs="宋体"/>
          <w:kern w:val="0"/>
          <w:sz w:val="28"/>
          <w:szCs w:val="28"/>
        </w:rPr>
        <w:t>.选手发现设备故障第一时间举手报备裁判，经裁判核实属于赛场设备自身故障，从报备到维修完成的时长全额补时；选手操作失误造成故障不予补时；</w:t>
      </w:r>
    </w:p>
    <w:p w14:paraId="6A6A8EB8">
      <w:pPr>
        <w:adjustRightInd w:val="0"/>
        <w:snapToGrid w:val="0"/>
        <w:spacing w:line="360" w:lineRule="auto"/>
        <w:ind w:firstLine="482"/>
        <w:rPr>
          <w:rFonts w:hint="eastAsia" w:ascii="仿宋" w:hAnsi="仿宋" w:eastAsia="仿宋" w:cs="宋体"/>
          <w:kern w:val="0"/>
          <w:sz w:val="28"/>
          <w:szCs w:val="28"/>
        </w:rPr>
      </w:pPr>
      <w:r>
        <w:rPr>
          <w:rFonts w:hint="eastAsia" w:ascii="仿宋" w:hAnsi="仿宋" w:eastAsia="仿宋" w:cs="宋体"/>
          <w:kern w:val="0"/>
          <w:sz w:val="28"/>
          <w:szCs w:val="28"/>
        </w:rPr>
        <w:t>1</w:t>
      </w:r>
      <w:r>
        <w:rPr>
          <w:rFonts w:hint="eastAsia" w:ascii="仿宋" w:hAnsi="仿宋" w:eastAsia="仿宋" w:cs="宋体"/>
          <w:kern w:val="0"/>
          <w:sz w:val="28"/>
          <w:szCs w:val="28"/>
          <w:lang w:val="en-US" w:eastAsia="zh-CN"/>
        </w:rPr>
        <w:t>0</w:t>
      </w:r>
      <w:r>
        <w:rPr>
          <w:rFonts w:hint="eastAsia" w:ascii="仿宋" w:hAnsi="仿宋" w:eastAsia="仿宋" w:cs="宋体"/>
          <w:kern w:val="0"/>
          <w:sz w:val="28"/>
          <w:szCs w:val="28"/>
        </w:rPr>
        <w:t>.打分过程选手需配合裁判取样、展示成衣，禁止触碰、调整竞赛设备、修改工艺记录单；</w:t>
      </w:r>
    </w:p>
    <w:p w14:paraId="6EF83E46">
      <w:pPr>
        <w:adjustRightInd w:val="0"/>
        <w:snapToGrid w:val="0"/>
        <w:spacing w:line="360" w:lineRule="auto"/>
        <w:ind w:firstLine="482"/>
        <w:rPr>
          <w:rFonts w:hint="eastAsia" w:ascii="仿宋" w:hAnsi="仿宋" w:eastAsia="仿宋" w:cs="宋体"/>
          <w:kern w:val="0"/>
          <w:sz w:val="28"/>
          <w:szCs w:val="28"/>
        </w:rPr>
      </w:pPr>
      <w:r>
        <w:rPr>
          <w:rFonts w:hint="eastAsia" w:ascii="仿宋" w:hAnsi="仿宋" w:eastAsia="仿宋" w:cs="宋体"/>
          <w:kern w:val="0"/>
          <w:sz w:val="28"/>
          <w:szCs w:val="28"/>
        </w:rPr>
        <w:t>1</w:t>
      </w:r>
      <w:r>
        <w:rPr>
          <w:rFonts w:hint="eastAsia" w:ascii="仿宋" w:hAnsi="仿宋" w:eastAsia="仿宋" w:cs="宋体"/>
          <w:kern w:val="0"/>
          <w:sz w:val="28"/>
          <w:szCs w:val="28"/>
          <w:lang w:val="en-US" w:eastAsia="zh-CN"/>
        </w:rPr>
        <w:t>1</w:t>
      </w:r>
      <w:r>
        <w:rPr>
          <w:rFonts w:hint="eastAsia" w:ascii="仿宋" w:hAnsi="仿宋" w:eastAsia="仿宋" w:cs="宋体"/>
          <w:kern w:val="0"/>
          <w:sz w:val="28"/>
          <w:szCs w:val="28"/>
        </w:rPr>
        <w:t>.首次违规裁判口头警告；二次违规扣10-20分；严重作弊、破坏设备、干扰裁判直接取消竞赛资格；</w:t>
      </w:r>
    </w:p>
    <w:p w14:paraId="381B5F37">
      <w:pPr>
        <w:adjustRightInd w:val="0"/>
        <w:snapToGrid w:val="0"/>
        <w:spacing w:line="360" w:lineRule="auto"/>
        <w:ind w:firstLine="482"/>
        <w:rPr>
          <w:rFonts w:hint="eastAsia" w:ascii="仿宋" w:hAnsi="仿宋" w:eastAsia="仿宋" w:cs="宋体"/>
          <w:kern w:val="0"/>
          <w:sz w:val="28"/>
          <w:szCs w:val="28"/>
        </w:rPr>
      </w:pPr>
      <w:r>
        <w:rPr>
          <w:rFonts w:hint="eastAsia" w:ascii="仿宋" w:hAnsi="仿宋" w:eastAsia="仿宋" w:cs="宋体"/>
          <w:kern w:val="0"/>
          <w:sz w:val="28"/>
          <w:szCs w:val="28"/>
        </w:rPr>
        <w:t>1</w:t>
      </w:r>
      <w:r>
        <w:rPr>
          <w:rFonts w:hint="eastAsia" w:ascii="仿宋" w:hAnsi="仿宋" w:eastAsia="仿宋" w:cs="宋体"/>
          <w:kern w:val="0"/>
          <w:sz w:val="28"/>
          <w:szCs w:val="28"/>
          <w:lang w:val="en-US" w:eastAsia="zh-CN"/>
        </w:rPr>
        <w:t>2</w:t>
      </w:r>
      <w:r>
        <w:rPr>
          <w:rFonts w:hint="eastAsia" w:ascii="仿宋" w:hAnsi="仿宋" w:eastAsia="仿宋" w:cs="宋体"/>
          <w:kern w:val="0"/>
          <w:sz w:val="28"/>
          <w:szCs w:val="28"/>
        </w:rPr>
        <w:t>.竞赛使用的牛仔样衣、助剂、浮石全部为赛场物资，赛后统一回收，选手不得私自带走。</w:t>
      </w:r>
    </w:p>
    <w:p w14:paraId="214B779D">
      <w:pPr>
        <w:pStyle w:val="2"/>
        <w:adjustRightInd w:val="0"/>
        <w:snapToGrid w:val="0"/>
        <w:spacing w:beforeLines="0" w:afterLines="0" w:line="360" w:lineRule="auto"/>
        <w:rPr>
          <w:rFonts w:hint="eastAsia" w:ascii="仿宋" w:hAnsi="仿宋" w:eastAsia="仿宋"/>
          <w:sz w:val="32"/>
          <w:szCs w:val="32"/>
        </w:rPr>
      </w:pPr>
      <w:bookmarkStart w:id="42" w:name="_Toc29413"/>
      <w:bookmarkStart w:id="43" w:name="_Toc530340413"/>
      <w:r>
        <w:rPr>
          <w:rFonts w:hint="eastAsia" w:ascii="仿宋" w:hAnsi="仿宋" w:eastAsia="仿宋"/>
          <w:sz w:val="32"/>
          <w:szCs w:val="32"/>
        </w:rPr>
        <w:t>5</w:t>
      </w:r>
      <w:r>
        <w:rPr>
          <w:rFonts w:ascii="仿宋" w:hAnsi="仿宋" w:eastAsia="仿宋"/>
          <w:sz w:val="32"/>
          <w:szCs w:val="32"/>
        </w:rPr>
        <w:t>.</w:t>
      </w:r>
      <w:r>
        <w:rPr>
          <w:rFonts w:hint="eastAsia" w:ascii="仿宋" w:hAnsi="仿宋" w:eastAsia="仿宋"/>
          <w:sz w:val="32"/>
          <w:szCs w:val="32"/>
        </w:rPr>
        <w:t>竞赛相关设施设备</w:t>
      </w:r>
      <w:bookmarkEnd w:id="41"/>
      <w:bookmarkEnd w:id="42"/>
      <w:bookmarkEnd w:id="43"/>
    </w:p>
    <w:p w14:paraId="06B11092">
      <w:pPr>
        <w:pStyle w:val="3"/>
        <w:adjustRightInd w:val="0"/>
        <w:snapToGrid w:val="0"/>
        <w:spacing w:line="360" w:lineRule="auto"/>
        <w:rPr>
          <w:rFonts w:hint="eastAsia" w:ascii="仿宋" w:hAnsi="仿宋" w:eastAsia="仿宋"/>
          <w:sz w:val="30"/>
          <w:szCs w:val="30"/>
        </w:rPr>
      </w:pPr>
      <w:bookmarkStart w:id="44" w:name="_Toc530340414"/>
      <w:bookmarkStart w:id="45" w:name="_Toc7826"/>
      <w:bookmarkStart w:id="46" w:name="_Toc481314010"/>
      <w:r>
        <w:rPr>
          <w:rFonts w:hint="eastAsia" w:ascii="仿宋" w:hAnsi="仿宋" w:eastAsia="仿宋"/>
          <w:sz w:val="30"/>
          <w:szCs w:val="30"/>
        </w:rPr>
        <w:t>5.1硬件设备要求</w:t>
      </w:r>
      <w:bookmarkEnd w:id="44"/>
      <w:bookmarkEnd w:id="45"/>
    </w:p>
    <w:p w14:paraId="3F07F147">
      <w:pPr>
        <w:adjustRightInd w:val="0"/>
        <w:snapToGrid w:val="0"/>
        <w:spacing w:line="360" w:lineRule="auto"/>
        <w:ind w:firstLine="482"/>
        <w:rPr>
          <w:rFonts w:hint="eastAsia" w:ascii="仿宋" w:hAnsi="仿宋" w:eastAsia="仿宋" w:cs="宋体"/>
          <w:kern w:val="0"/>
          <w:sz w:val="28"/>
          <w:szCs w:val="28"/>
        </w:rPr>
      </w:pPr>
      <w:r>
        <w:rPr>
          <w:rFonts w:hint="eastAsia" w:ascii="仿宋" w:hAnsi="仿宋" w:eastAsia="仿宋" w:cs="宋体"/>
          <w:kern w:val="0"/>
          <w:sz w:val="28"/>
          <w:szCs w:val="28"/>
        </w:rPr>
        <w:t>根据《</w:t>
      </w:r>
      <w:r>
        <w:rPr>
          <w:rFonts w:hint="eastAsia" w:ascii="仿宋" w:hAnsi="仿宋" w:eastAsia="仿宋" w:cs="宋体"/>
          <w:kern w:val="0"/>
          <w:sz w:val="28"/>
          <w:szCs w:val="28"/>
          <w:lang w:eastAsia="zh-CN"/>
        </w:rPr>
        <w:t>服装水洗工</w:t>
      </w:r>
      <w:r>
        <w:rPr>
          <w:rFonts w:hint="eastAsia" w:ascii="仿宋" w:hAnsi="仿宋" w:eastAsia="仿宋" w:cs="宋体"/>
          <w:kern w:val="0"/>
          <w:sz w:val="28"/>
          <w:szCs w:val="28"/>
        </w:rPr>
        <w:t>》国家职业技能标准三级（高级工）相关内容要求以及命题的需要，分为赛场统一提供设备材料、选手自带设备材料两类。本赛项为赛场统一提供设备材料，选手无需自带任何设备、工具、化料，全部设备材料由赛场统一配发。</w:t>
      </w:r>
    </w:p>
    <w:p w14:paraId="76BCCC7D">
      <w:pPr>
        <w:adjustRightInd w:val="0"/>
        <w:snapToGrid w:val="0"/>
        <w:spacing w:line="360" w:lineRule="auto"/>
        <w:rPr>
          <w:rFonts w:hint="eastAsia" w:ascii="仿宋" w:hAnsi="仿宋" w:eastAsia="仿宋"/>
          <w:b/>
          <w:bCs/>
          <w:sz w:val="30"/>
          <w:szCs w:val="30"/>
        </w:rPr>
      </w:pPr>
      <w:r>
        <w:rPr>
          <w:rFonts w:hint="eastAsia" w:ascii="仿宋" w:hAnsi="仿宋" w:eastAsia="仿宋"/>
          <w:b/>
          <w:bCs/>
          <w:sz w:val="30"/>
          <w:szCs w:val="30"/>
        </w:rPr>
        <w:t>5.1.1</w:t>
      </w:r>
      <w:r>
        <w:rPr>
          <w:rFonts w:ascii="仿宋" w:hAnsi="仿宋" w:eastAsia="仿宋"/>
          <w:b/>
          <w:bCs/>
          <w:sz w:val="30"/>
          <w:szCs w:val="30"/>
        </w:rPr>
        <w:t>赛场提供的</w:t>
      </w:r>
      <w:r>
        <w:rPr>
          <w:rFonts w:hint="eastAsia" w:ascii="仿宋" w:hAnsi="仿宋" w:eastAsia="仿宋"/>
          <w:b/>
          <w:bCs/>
          <w:sz w:val="30"/>
          <w:szCs w:val="30"/>
        </w:rPr>
        <w:t>设备与工具</w:t>
      </w:r>
    </w:p>
    <w:p w14:paraId="0F931853">
      <w:pPr>
        <w:adjustRightInd w:val="0"/>
        <w:snapToGrid w:val="0"/>
        <w:spacing w:line="360" w:lineRule="auto"/>
        <w:ind w:firstLine="482"/>
        <w:rPr>
          <w:rFonts w:hint="eastAsia" w:ascii="仿宋" w:hAnsi="仿宋" w:eastAsia="仿宋" w:cs="宋体"/>
          <w:kern w:val="0"/>
          <w:sz w:val="28"/>
          <w:szCs w:val="28"/>
        </w:rPr>
      </w:pPr>
      <w:r>
        <w:rPr>
          <w:rFonts w:hint="eastAsia" w:ascii="仿宋" w:hAnsi="仿宋" w:eastAsia="仿宋" w:cs="宋体"/>
          <w:kern w:val="0"/>
          <w:sz w:val="28"/>
          <w:szCs w:val="28"/>
        </w:rPr>
        <w:t>（</w:t>
      </w:r>
      <w:r>
        <w:rPr>
          <w:rFonts w:ascii="仿宋" w:hAnsi="仿宋" w:eastAsia="仿宋" w:cs="宋体"/>
          <w:kern w:val="0"/>
          <w:sz w:val="28"/>
          <w:szCs w:val="28"/>
        </w:rPr>
        <w:t>1</w:t>
      </w:r>
      <w:r>
        <w:rPr>
          <w:rFonts w:hint="eastAsia" w:ascii="仿宋" w:hAnsi="仿宋" w:eastAsia="仿宋" w:cs="宋体"/>
          <w:kern w:val="0"/>
          <w:sz w:val="28"/>
          <w:szCs w:val="28"/>
        </w:rPr>
        <w:t>）为了引导更多的单位参与竞赛并考虑到参赛单位的实际情况，此次竞赛设备由赛场提供；</w:t>
      </w:r>
    </w:p>
    <w:p w14:paraId="3165791A">
      <w:pPr>
        <w:adjustRightInd w:val="0"/>
        <w:snapToGrid w:val="0"/>
        <w:spacing w:line="360" w:lineRule="auto"/>
        <w:ind w:firstLine="482"/>
        <w:rPr>
          <w:rFonts w:hint="eastAsia" w:ascii="仿宋" w:hAnsi="仿宋" w:eastAsia="仿宋" w:cs="宋体"/>
          <w:kern w:val="0"/>
          <w:sz w:val="28"/>
          <w:szCs w:val="28"/>
        </w:rPr>
      </w:pPr>
      <w:r>
        <w:rPr>
          <w:rFonts w:hint="eastAsia" w:ascii="仿宋" w:hAnsi="仿宋" w:eastAsia="仿宋" w:cs="宋体"/>
          <w:kern w:val="0"/>
          <w:sz w:val="28"/>
          <w:szCs w:val="28"/>
        </w:rPr>
        <w:t>（</w:t>
      </w:r>
      <w:r>
        <w:rPr>
          <w:rFonts w:ascii="仿宋" w:hAnsi="仿宋" w:eastAsia="仿宋" w:cs="宋体"/>
          <w:kern w:val="0"/>
          <w:sz w:val="28"/>
          <w:szCs w:val="28"/>
        </w:rPr>
        <w:t>2</w:t>
      </w:r>
      <w:r>
        <w:rPr>
          <w:rFonts w:hint="eastAsia" w:ascii="仿宋" w:hAnsi="仿宋" w:eastAsia="仿宋" w:cs="宋体"/>
          <w:kern w:val="0"/>
          <w:sz w:val="28"/>
          <w:szCs w:val="28"/>
        </w:rPr>
        <w:t>）竞赛设备分已知设备和未知设备。已知设备的模块组成与主要配置</w:t>
      </w:r>
      <w:r>
        <w:rPr>
          <w:rFonts w:ascii="仿宋" w:hAnsi="仿宋" w:eastAsia="仿宋" w:cs="宋体"/>
          <w:kern w:val="0"/>
          <w:sz w:val="28"/>
          <w:szCs w:val="28"/>
        </w:rPr>
        <w:t>图见</w:t>
      </w:r>
      <w:r>
        <w:rPr>
          <w:rFonts w:hint="eastAsia" w:ascii="仿宋" w:hAnsi="仿宋" w:eastAsia="仿宋" w:cs="宋体"/>
          <w:kern w:val="0"/>
          <w:sz w:val="28"/>
          <w:szCs w:val="28"/>
        </w:rPr>
        <w:t>下</w:t>
      </w:r>
      <w:r>
        <w:rPr>
          <w:rFonts w:ascii="仿宋" w:hAnsi="仿宋" w:eastAsia="仿宋" w:cs="宋体"/>
          <w:kern w:val="0"/>
          <w:sz w:val="28"/>
          <w:szCs w:val="28"/>
        </w:rPr>
        <w:t>表。</w:t>
      </w:r>
    </w:p>
    <w:p w14:paraId="43E36173">
      <w:pPr>
        <w:adjustRightInd w:val="0"/>
        <w:snapToGrid w:val="0"/>
        <w:spacing w:line="360" w:lineRule="auto"/>
        <w:jc w:val="center"/>
        <w:rPr>
          <w:rFonts w:hint="eastAsia" w:ascii="仿宋" w:hAnsi="仿宋" w:eastAsia="仿宋"/>
          <w:b/>
          <w:sz w:val="24"/>
        </w:rPr>
      </w:pPr>
      <w:r>
        <w:rPr>
          <w:rFonts w:ascii="仿宋" w:hAnsi="仿宋" w:eastAsia="仿宋"/>
          <w:b/>
          <w:sz w:val="24"/>
        </w:rPr>
        <w:t>赛场提供的已知设备内容清单</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
        <w:gridCol w:w="1817"/>
        <w:gridCol w:w="1912"/>
        <w:gridCol w:w="703"/>
        <w:gridCol w:w="2586"/>
      </w:tblGrid>
      <w:tr w14:paraId="04187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blHeader/>
          <w:jc w:val="center"/>
        </w:trPr>
        <w:tc>
          <w:tcPr>
            <w:tcW w:w="751" w:type="dxa"/>
            <w:shd w:val="clear" w:color="auto" w:fill="D9D9D9"/>
            <w:vAlign w:val="center"/>
          </w:tcPr>
          <w:p w14:paraId="3FB37643">
            <w:pPr>
              <w:pStyle w:val="44"/>
              <w:jc w:val="center"/>
              <w:rPr>
                <w:rFonts w:hint="eastAsia" w:ascii="仿宋" w:hAnsi="仿宋" w:cs="Times New Roman"/>
                <w:b/>
                <w:bCs/>
                <w:sz w:val="24"/>
                <w:szCs w:val="24"/>
              </w:rPr>
            </w:pPr>
            <w:r>
              <w:rPr>
                <w:rFonts w:ascii="仿宋" w:hAnsi="仿宋" w:cs="Times New Roman"/>
                <w:b/>
                <w:bCs/>
                <w:sz w:val="24"/>
                <w:szCs w:val="24"/>
              </w:rPr>
              <w:t>序号</w:t>
            </w:r>
          </w:p>
        </w:tc>
        <w:tc>
          <w:tcPr>
            <w:tcW w:w="1817" w:type="dxa"/>
            <w:shd w:val="clear" w:color="auto" w:fill="D9D9D9"/>
            <w:vAlign w:val="center"/>
          </w:tcPr>
          <w:p w14:paraId="225C09FF">
            <w:pPr>
              <w:pStyle w:val="44"/>
              <w:jc w:val="center"/>
              <w:rPr>
                <w:rFonts w:hint="eastAsia" w:ascii="仿宋" w:hAnsi="仿宋" w:cs="Times New Roman"/>
                <w:b/>
                <w:bCs/>
                <w:sz w:val="24"/>
                <w:szCs w:val="24"/>
              </w:rPr>
            </w:pPr>
            <w:r>
              <w:rPr>
                <w:rFonts w:ascii="仿宋" w:hAnsi="仿宋" w:cs="Times New Roman"/>
                <w:b/>
                <w:bCs/>
                <w:sz w:val="24"/>
                <w:szCs w:val="24"/>
              </w:rPr>
              <w:t>名称</w:t>
            </w:r>
          </w:p>
        </w:tc>
        <w:tc>
          <w:tcPr>
            <w:tcW w:w="1912" w:type="dxa"/>
            <w:shd w:val="clear" w:color="auto" w:fill="D9D9D9"/>
            <w:vAlign w:val="center"/>
          </w:tcPr>
          <w:p w14:paraId="401A6F5F">
            <w:pPr>
              <w:pStyle w:val="44"/>
              <w:jc w:val="center"/>
              <w:rPr>
                <w:rFonts w:hint="eastAsia" w:ascii="仿宋" w:hAnsi="仿宋" w:eastAsia="仿宋" w:cs="Times New Roman"/>
                <w:b/>
                <w:bCs/>
                <w:sz w:val="24"/>
                <w:szCs w:val="24"/>
                <w:lang w:eastAsia="zh-CN"/>
              </w:rPr>
            </w:pPr>
            <w:r>
              <w:rPr>
                <w:rFonts w:hint="eastAsia" w:ascii="仿宋" w:hAnsi="仿宋" w:cs="Times New Roman"/>
                <w:b/>
                <w:bCs/>
                <w:sz w:val="24"/>
                <w:szCs w:val="24"/>
                <w:lang w:eastAsia="zh-CN"/>
              </w:rPr>
              <w:t>说明</w:t>
            </w:r>
          </w:p>
        </w:tc>
        <w:tc>
          <w:tcPr>
            <w:tcW w:w="703" w:type="dxa"/>
            <w:shd w:val="clear" w:color="auto" w:fill="D9D9D9"/>
            <w:vAlign w:val="center"/>
          </w:tcPr>
          <w:p w14:paraId="05215D26">
            <w:pPr>
              <w:pStyle w:val="44"/>
              <w:jc w:val="center"/>
              <w:rPr>
                <w:rFonts w:hint="eastAsia" w:ascii="仿宋" w:hAnsi="仿宋" w:cs="Times New Roman"/>
                <w:b/>
                <w:bCs/>
                <w:sz w:val="24"/>
                <w:szCs w:val="24"/>
              </w:rPr>
            </w:pPr>
            <w:r>
              <w:rPr>
                <w:rFonts w:ascii="仿宋" w:hAnsi="仿宋" w:cs="Times New Roman"/>
                <w:b/>
                <w:bCs/>
                <w:sz w:val="24"/>
                <w:szCs w:val="24"/>
              </w:rPr>
              <w:t>单位</w:t>
            </w:r>
          </w:p>
        </w:tc>
        <w:tc>
          <w:tcPr>
            <w:tcW w:w="2586" w:type="dxa"/>
            <w:shd w:val="clear" w:color="auto" w:fill="D9D9D9"/>
            <w:vAlign w:val="center"/>
          </w:tcPr>
          <w:p w14:paraId="2EBDBD0C">
            <w:pPr>
              <w:pStyle w:val="44"/>
              <w:jc w:val="center"/>
              <w:rPr>
                <w:rFonts w:hint="eastAsia" w:ascii="仿宋" w:hAnsi="仿宋" w:cs="Times New Roman"/>
                <w:b/>
                <w:bCs/>
                <w:sz w:val="24"/>
                <w:szCs w:val="24"/>
              </w:rPr>
            </w:pPr>
            <w:r>
              <w:rPr>
                <w:rFonts w:ascii="仿宋" w:hAnsi="仿宋" w:cs="Times New Roman"/>
                <w:b/>
                <w:bCs/>
                <w:sz w:val="24"/>
                <w:szCs w:val="24"/>
              </w:rPr>
              <w:t>规格</w:t>
            </w:r>
          </w:p>
        </w:tc>
      </w:tr>
      <w:tr w14:paraId="6F41A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751" w:type="dxa"/>
            <w:vAlign w:val="center"/>
          </w:tcPr>
          <w:p w14:paraId="5EC215EE">
            <w:pPr>
              <w:pStyle w:val="44"/>
              <w:jc w:val="center"/>
              <w:rPr>
                <w:rFonts w:hint="eastAsia" w:ascii="仿宋" w:hAnsi="仿宋" w:cs="Times New Roman"/>
                <w:sz w:val="24"/>
                <w:szCs w:val="24"/>
              </w:rPr>
            </w:pPr>
            <w:r>
              <w:rPr>
                <w:rFonts w:ascii="仿宋" w:hAnsi="仿宋" w:cs="Times New Roman"/>
                <w:sz w:val="24"/>
                <w:szCs w:val="24"/>
              </w:rPr>
              <w:t>1</w:t>
            </w:r>
          </w:p>
        </w:tc>
        <w:tc>
          <w:tcPr>
            <w:tcW w:w="1817" w:type="dxa"/>
            <w:vAlign w:val="center"/>
          </w:tcPr>
          <w:p w14:paraId="13BB003C">
            <w:pPr>
              <w:pStyle w:val="44"/>
              <w:jc w:val="center"/>
              <w:rPr>
                <w:rFonts w:hint="eastAsia" w:ascii="仿宋" w:hAnsi="仿宋" w:cs="Times New Roman"/>
                <w:sz w:val="24"/>
                <w:szCs w:val="24"/>
              </w:rPr>
            </w:pPr>
            <w:r>
              <w:rPr>
                <w:rFonts w:ascii="仿宋" w:hAnsi="仿宋" w:cs="Times New Roman"/>
                <w:sz w:val="24"/>
                <w:szCs w:val="24"/>
              </w:rPr>
              <w:t>节能洗脱一体机</w:t>
            </w:r>
          </w:p>
        </w:tc>
        <w:tc>
          <w:tcPr>
            <w:tcW w:w="1912" w:type="dxa"/>
            <w:vAlign w:val="center"/>
          </w:tcPr>
          <w:p w14:paraId="1957CFAF">
            <w:pPr>
              <w:pStyle w:val="44"/>
              <w:jc w:val="center"/>
              <w:rPr>
                <w:rFonts w:hint="eastAsia" w:ascii="仿宋" w:hAnsi="仿宋" w:cs="Times New Roman"/>
                <w:sz w:val="24"/>
                <w:szCs w:val="24"/>
              </w:rPr>
            </w:pPr>
            <w:r>
              <w:rPr>
                <w:rFonts w:ascii="仿宋" w:hAnsi="仿宋" w:cs="Times New Roman"/>
                <w:sz w:val="24"/>
                <w:szCs w:val="24"/>
              </w:rPr>
              <w:t>5</w:t>
            </w:r>
            <w:r>
              <w:rPr>
                <w:rFonts w:hint="eastAsia" w:ascii="仿宋" w:hAnsi="仿宋" w:cs="Times New Roman"/>
                <w:sz w:val="24"/>
                <w:szCs w:val="24"/>
                <w:lang w:val="en-US" w:eastAsia="zh-CN"/>
              </w:rPr>
              <w:t>5</w:t>
            </w:r>
            <w:r>
              <w:rPr>
                <w:rFonts w:ascii="仿宋" w:hAnsi="仿宋" w:cs="Times New Roman"/>
                <w:sz w:val="24"/>
                <w:szCs w:val="24"/>
              </w:rPr>
              <w:t>0L低浴比</w:t>
            </w:r>
          </w:p>
        </w:tc>
        <w:tc>
          <w:tcPr>
            <w:tcW w:w="703" w:type="dxa"/>
            <w:vAlign w:val="center"/>
          </w:tcPr>
          <w:p w14:paraId="30EBFFD0">
            <w:pPr>
              <w:pStyle w:val="44"/>
              <w:jc w:val="center"/>
              <w:rPr>
                <w:rFonts w:hint="eastAsia" w:ascii="仿宋" w:hAnsi="仿宋" w:cs="Times New Roman"/>
                <w:sz w:val="24"/>
                <w:szCs w:val="24"/>
              </w:rPr>
            </w:pPr>
            <w:r>
              <w:rPr>
                <w:rFonts w:ascii="仿宋" w:hAnsi="仿宋" w:cs="Times New Roman"/>
                <w:sz w:val="24"/>
                <w:szCs w:val="24"/>
              </w:rPr>
              <w:t>1台</w:t>
            </w:r>
          </w:p>
        </w:tc>
        <w:tc>
          <w:tcPr>
            <w:tcW w:w="2586" w:type="dxa"/>
            <w:vAlign w:val="center"/>
          </w:tcPr>
          <w:p w14:paraId="18177621">
            <w:pPr>
              <w:pStyle w:val="44"/>
              <w:jc w:val="center"/>
              <w:rPr>
                <w:rFonts w:hint="eastAsia" w:ascii="仿宋" w:hAnsi="仿宋" w:cs="Times New Roman"/>
                <w:sz w:val="24"/>
                <w:szCs w:val="24"/>
              </w:rPr>
            </w:pPr>
            <w:r>
              <w:rPr>
                <w:rFonts w:ascii="仿宋" w:hAnsi="仿宋" w:cs="Times New Roman"/>
                <w:sz w:val="24"/>
                <w:szCs w:val="24"/>
              </w:rPr>
              <w:t>酵素洗、石磨洗、成衣洗涤主设备</w:t>
            </w:r>
          </w:p>
        </w:tc>
      </w:tr>
      <w:tr w14:paraId="32A5C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751" w:type="dxa"/>
            <w:vAlign w:val="center"/>
          </w:tcPr>
          <w:p w14:paraId="70C73D0F">
            <w:pPr>
              <w:pStyle w:val="44"/>
              <w:jc w:val="center"/>
              <w:rPr>
                <w:rFonts w:hint="eastAsia" w:ascii="仿宋" w:hAnsi="仿宋" w:cs="Times New Roman"/>
                <w:sz w:val="24"/>
                <w:szCs w:val="24"/>
              </w:rPr>
            </w:pPr>
            <w:r>
              <w:rPr>
                <w:rFonts w:ascii="仿宋" w:hAnsi="仿宋" w:cs="Times New Roman"/>
                <w:sz w:val="24"/>
                <w:szCs w:val="24"/>
              </w:rPr>
              <w:t>2</w:t>
            </w:r>
          </w:p>
        </w:tc>
        <w:tc>
          <w:tcPr>
            <w:tcW w:w="1817" w:type="dxa"/>
            <w:vAlign w:val="center"/>
          </w:tcPr>
          <w:p w14:paraId="68679A7B">
            <w:pPr>
              <w:pStyle w:val="44"/>
              <w:jc w:val="center"/>
              <w:rPr>
                <w:rFonts w:hint="eastAsia" w:ascii="仿宋" w:hAnsi="仿宋" w:cs="Times New Roman"/>
                <w:sz w:val="24"/>
                <w:szCs w:val="24"/>
              </w:rPr>
            </w:pPr>
            <w:r>
              <w:rPr>
                <w:rFonts w:ascii="仿宋" w:hAnsi="仿宋" w:cs="Times New Roman"/>
                <w:sz w:val="24"/>
                <w:szCs w:val="24"/>
              </w:rPr>
              <w:t>脱水机</w:t>
            </w:r>
          </w:p>
        </w:tc>
        <w:tc>
          <w:tcPr>
            <w:tcW w:w="1912" w:type="dxa"/>
            <w:vAlign w:val="center"/>
          </w:tcPr>
          <w:p w14:paraId="5AA4A097">
            <w:pPr>
              <w:pStyle w:val="44"/>
              <w:jc w:val="center"/>
              <w:rPr>
                <w:rFonts w:hint="eastAsia" w:ascii="仿宋" w:hAnsi="仿宋" w:eastAsia="仿宋" w:cs="Times New Roman"/>
                <w:sz w:val="24"/>
                <w:szCs w:val="24"/>
                <w:lang w:eastAsia="zh-CN"/>
              </w:rPr>
            </w:pPr>
            <w:r>
              <w:rPr>
                <w:rFonts w:hint="eastAsia" w:ascii="仿宋" w:hAnsi="仿宋" w:cs="Times New Roman"/>
                <w:sz w:val="24"/>
                <w:szCs w:val="24"/>
                <w:lang w:val="en-US" w:eastAsia="zh-CN"/>
              </w:rPr>
              <w:t>/</w:t>
            </w:r>
          </w:p>
        </w:tc>
        <w:tc>
          <w:tcPr>
            <w:tcW w:w="703" w:type="dxa"/>
            <w:vAlign w:val="center"/>
          </w:tcPr>
          <w:p w14:paraId="1CDA5A5F">
            <w:pPr>
              <w:pStyle w:val="44"/>
              <w:jc w:val="center"/>
              <w:rPr>
                <w:rFonts w:hint="eastAsia" w:ascii="仿宋" w:hAnsi="仿宋" w:cs="Times New Roman"/>
                <w:sz w:val="24"/>
                <w:szCs w:val="24"/>
              </w:rPr>
            </w:pPr>
            <w:r>
              <w:rPr>
                <w:rFonts w:ascii="仿宋" w:hAnsi="仿宋" w:cs="Times New Roman"/>
                <w:sz w:val="24"/>
                <w:szCs w:val="24"/>
              </w:rPr>
              <w:t>1台</w:t>
            </w:r>
          </w:p>
        </w:tc>
        <w:tc>
          <w:tcPr>
            <w:tcW w:w="2586" w:type="dxa"/>
            <w:vAlign w:val="center"/>
          </w:tcPr>
          <w:p w14:paraId="4F716920">
            <w:pPr>
              <w:pStyle w:val="44"/>
              <w:jc w:val="center"/>
              <w:rPr>
                <w:rFonts w:hint="eastAsia" w:ascii="仿宋" w:hAnsi="仿宋" w:cs="Times New Roman"/>
                <w:sz w:val="24"/>
                <w:szCs w:val="24"/>
              </w:rPr>
            </w:pPr>
            <w:r>
              <w:rPr>
                <w:rFonts w:ascii="仿宋" w:hAnsi="仿宋" w:cs="Times New Roman"/>
                <w:sz w:val="24"/>
                <w:szCs w:val="24"/>
              </w:rPr>
              <w:t>成衣脱水处理</w:t>
            </w:r>
          </w:p>
        </w:tc>
      </w:tr>
      <w:tr w14:paraId="6F4B4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751" w:type="dxa"/>
            <w:vAlign w:val="center"/>
          </w:tcPr>
          <w:p w14:paraId="34B03F39">
            <w:pPr>
              <w:pStyle w:val="44"/>
              <w:jc w:val="center"/>
              <w:rPr>
                <w:rFonts w:hint="eastAsia" w:ascii="仿宋" w:hAnsi="仿宋" w:cs="Times New Roman"/>
                <w:sz w:val="24"/>
                <w:szCs w:val="24"/>
              </w:rPr>
            </w:pPr>
            <w:r>
              <w:rPr>
                <w:rFonts w:ascii="仿宋" w:hAnsi="仿宋" w:cs="Times New Roman"/>
                <w:sz w:val="24"/>
                <w:szCs w:val="24"/>
              </w:rPr>
              <w:t>3</w:t>
            </w:r>
          </w:p>
        </w:tc>
        <w:tc>
          <w:tcPr>
            <w:tcW w:w="1817" w:type="dxa"/>
            <w:vAlign w:val="center"/>
          </w:tcPr>
          <w:p w14:paraId="6B313ABF">
            <w:pPr>
              <w:pStyle w:val="44"/>
              <w:jc w:val="center"/>
              <w:rPr>
                <w:rFonts w:hint="eastAsia" w:ascii="仿宋" w:hAnsi="仿宋" w:cs="Times New Roman"/>
                <w:sz w:val="24"/>
                <w:szCs w:val="24"/>
              </w:rPr>
            </w:pPr>
            <w:r>
              <w:rPr>
                <w:rFonts w:ascii="仿宋" w:hAnsi="仿宋" w:cs="Times New Roman"/>
                <w:sz w:val="24"/>
                <w:szCs w:val="24"/>
              </w:rPr>
              <w:t>节能翻转烘干机</w:t>
            </w:r>
          </w:p>
        </w:tc>
        <w:tc>
          <w:tcPr>
            <w:tcW w:w="1912" w:type="dxa"/>
            <w:vAlign w:val="center"/>
          </w:tcPr>
          <w:p w14:paraId="37169123">
            <w:pPr>
              <w:pStyle w:val="44"/>
              <w:jc w:val="center"/>
              <w:rPr>
                <w:rFonts w:hint="eastAsia" w:ascii="仿宋" w:hAnsi="仿宋" w:cs="Times New Roman"/>
                <w:sz w:val="24"/>
                <w:szCs w:val="24"/>
              </w:rPr>
            </w:pPr>
            <w:r>
              <w:rPr>
                <w:rFonts w:ascii="仿宋" w:hAnsi="仿宋" w:cs="Times New Roman"/>
                <w:sz w:val="24"/>
                <w:szCs w:val="24"/>
              </w:rPr>
              <w:t>带正反转控温</w:t>
            </w:r>
          </w:p>
        </w:tc>
        <w:tc>
          <w:tcPr>
            <w:tcW w:w="703" w:type="dxa"/>
            <w:vAlign w:val="center"/>
          </w:tcPr>
          <w:p w14:paraId="46619681">
            <w:pPr>
              <w:pStyle w:val="44"/>
              <w:jc w:val="center"/>
              <w:rPr>
                <w:rFonts w:hint="eastAsia" w:ascii="仿宋" w:hAnsi="仿宋" w:cs="Times New Roman"/>
                <w:sz w:val="24"/>
                <w:szCs w:val="24"/>
              </w:rPr>
            </w:pPr>
            <w:r>
              <w:rPr>
                <w:rFonts w:ascii="仿宋" w:hAnsi="仿宋" w:cs="Times New Roman"/>
                <w:sz w:val="24"/>
                <w:szCs w:val="24"/>
              </w:rPr>
              <w:t>1台</w:t>
            </w:r>
          </w:p>
        </w:tc>
        <w:tc>
          <w:tcPr>
            <w:tcW w:w="2586" w:type="dxa"/>
            <w:vAlign w:val="center"/>
          </w:tcPr>
          <w:p w14:paraId="3083F37B">
            <w:pPr>
              <w:pStyle w:val="44"/>
              <w:jc w:val="center"/>
              <w:rPr>
                <w:rFonts w:hint="eastAsia" w:ascii="仿宋" w:hAnsi="仿宋" w:cs="Times New Roman"/>
                <w:sz w:val="24"/>
                <w:szCs w:val="24"/>
              </w:rPr>
            </w:pPr>
            <w:r>
              <w:rPr>
                <w:rFonts w:ascii="仿宋" w:hAnsi="仿宋" w:cs="Times New Roman"/>
                <w:sz w:val="24"/>
                <w:szCs w:val="24"/>
              </w:rPr>
              <w:t>洗后成衣烘干、对样快速烘干</w:t>
            </w:r>
          </w:p>
        </w:tc>
      </w:tr>
      <w:tr w14:paraId="4D9C6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751" w:type="dxa"/>
            <w:vAlign w:val="center"/>
          </w:tcPr>
          <w:p w14:paraId="46BB3CED">
            <w:pPr>
              <w:pStyle w:val="44"/>
              <w:jc w:val="center"/>
              <w:rPr>
                <w:rFonts w:hint="eastAsia" w:ascii="仿宋" w:hAnsi="仿宋" w:cs="Times New Roman"/>
                <w:sz w:val="24"/>
                <w:szCs w:val="24"/>
              </w:rPr>
            </w:pPr>
            <w:r>
              <w:rPr>
                <w:rFonts w:ascii="仿宋" w:hAnsi="仿宋" w:cs="Times New Roman"/>
                <w:sz w:val="24"/>
                <w:szCs w:val="24"/>
              </w:rPr>
              <w:t>4</w:t>
            </w:r>
          </w:p>
        </w:tc>
        <w:tc>
          <w:tcPr>
            <w:tcW w:w="1817" w:type="dxa"/>
            <w:vAlign w:val="center"/>
          </w:tcPr>
          <w:p w14:paraId="7EA2548A">
            <w:pPr>
              <w:pStyle w:val="44"/>
              <w:jc w:val="center"/>
              <w:rPr>
                <w:rFonts w:hint="eastAsia" w:ascii="仿宋" w:hAnsi="仿宋" w:cs="Times New Roman"/>
                <w:sz w:val="24"/>
                <w:szCs w:val="24"/>
              </w:rPr>
            </w:pPr>
            <w:r>
              <w:rPr>
                <w:rFonts w:ascii="仿宋" w:hAnsi="仿宋" w:cs="Times New Roman"/>
                <w:sz w:val="24"/>
                <w:szCs w:val="24"/>
              </w:rPr>
              <w:t>电子分析天平</w:t>
            </w:r>
          </w:p>
        </w:tc>
        <w:tc>
          <w:tcPr>
            <w:tcW w:w="1912" w:type="dxa"/>
            <w:vAlign w:val="center"/>
          </w:tcPr>
          <w:p w14:paraId="5457548E">
            <w:pPr>
              <w:pStyle w:val="44"/>
              <w:jc w:val="center"/>
              <w:rPr>
                <w:rFonts w:hint="eastAsia" w:ascii="仿宋" w:hAnsi="仿宋" w:cs="Times New Roman"/>
                <w:sz w:val="24"/>
                <w:szCs w:val="24"/>
              </w:rPr>
            </w:pPr>
            <w:r>
              <w:rPr>
                <w:rFonts w:ascii="仿宋" w:hAnsi="仿宋" w:cs="Times New Roman"/>
                <w:sz w:val="24"/>
                <w:szCs w:val="24"/>
              </w:rPr>
              <w:t>精度0.01g</w:t>
            </w:r>
          </w:p>
        </w:tc>
        <w:tc>
          <w:tcPr>
            <w:tcW w:w="703" w:type="dxa"/>
            <w:vAlign w:val="center"/>
          </w:tcPr>
          <w:p w14:paraId="61A59372">
            <w:pPr>
              <w:pStyle w:val="44"/>
              <w:jc w:val="center"/>
              <w:rPr>
                <w:rFonts w:hint="eastAsia" w:ascii="仿宋" w:hAnsi="仿宋" w:cs="Times New Roman"/>
                <w:sz w:val="24"/>
                <w:szCs w:val="24"/>
              </w:rPr>
            </w:pPr>
            <w:r>
              <w:rPr>
                <w:rFonts w:ascii="仿宋" w:hAnsi="仿宋" w:cs="Times New Roman"/>
                <w:sz w:val="24"/>
                <w:szCs w:val="24"/>
              </w:rPr>
              <w:t>1台</w:t>
            </w:r>
          </w:p>
        </w:tc>
        <w:tc>
          <w:tcPr>
            <w:tcW w:w="2586" w:type="dxa"/>
            <w:vAlign w:val="center"/>
          </w:tcPr>
          <w:p w14:paraId="48CC02D9">
            <w:pPr>
              <w:pStyle w:val="44"/>
              <w:jc w:val="center"/>
              <w:rPr>
                <w:rFonts w:hint="eastAsia" w:ascii="仿宋" w:hAnsi="仿宋" w:cs="Times New Roman"/>
                <w:sz w:val="24"/>
                <w:szCs w:val="24"/>
              </w:rPr>
            </w:pPr>
            <w:r>
              <w:rPr>
                <w:rFonts w:ascii="仿宋" w:hAnsi="仿宋" w:cs="Times New Roman"/>
                <w:sz w:val="24"/>
                <w:szCs w:val="24"/>
              </w:rPr>
              <w:t>染化料精准称量</w:t>
            </w:r>
          </w:p>
        </w:tc>
      </w:tr>
      <w:tr w14:paraId="04439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751" w:type="dxa"/>
            <w:vAlign w:val="center"/>
          </w:tcPr>
          <w:p w14:paraId="313D328F">
            <w:pPr>
              <w:pStyle w:val="44"/>
              <w:jc w:val="center"/>
              <w:rPr>
                <w:rFonts w:hint="eastAsia" w:ascii="仿宋" w:hAnsi="仿宋" w:cs="Times New Roman"/>
                <w:sz w:val="24"/>
                <w:szCs w:val="24"/>
              </w:rPr>
            </w:pPr>
            <w:r>
              <w:rPr>
                <w:rFonts w:ascii="仿宋" w:hAnsi="仿宋" w:cs="Times New Roman"/>
                <w:sz w:val="24"/>
                <w:szCs w:val="24"/>
              </w:rPr>
              <w:t>5</w:t>
            </w:r>
          </w:p>
        </w:tc>
        <w:tc>
          <w:tcPr>
            <w:tcW w:w="1817" w:type="dxa"/>
            <w:vAlign w:val="center"/>
          </w:tcPr>
          <w:p w14:paraId="6A2A4479">
            <w:pPr>
              <w:pStyle w:val="44"/>
              <w:jc w:val="center"/>
              <w:rPr>
                <w:rFonts w:hint="eastAsia" w:ascii="仿宋" w:hAnsi="仿宋" w:cs="Times New Roman"/>
                <w:sz w:val="24"/>
                <w:szCs w:val="24"/>
              </w:rPr>
            </w:pPr>
            <w:r>
              <w:rPr>
                <w:rFonts w:ascii="仿宋" w:hAnsi="仿宋" w:cs="Times New Roman"/>
                <w:sz w:val="24"/>
                <w:szCs w:val="24"/>
              </w:rPr>
              <w:t>pH检测计</w:t>
            </w:r>
          </w:p>
        </w:tc>
        <w:tc>
          <w:tcPr>
            <w:tcW w:w="1912" w:type="dxa"/>
            <w:vAlign w:val="center"/>
          </w:tcPr>
          <w:p w14:paraId="74471464">
            <w:pPr>
              <w:pStyle w:val="44"/>
              <w:jc w:val="center"/>
              <w:rPr>
                <w:rFonts w:hint="eastAsia" w:ascii="仿宋" w:hAnsi="仿宋" w:cs="Times New Roman"/>
                <w:sz w:val="24"/>
                <w:szCs w:val="24"/>
              </w:rPr>
            </w:pPr>
            <w:r>
              <w:rPr>
                <w:rFonts w:ascii="仿宋" w:hAnsi="仿宋" w:cs="Times New Roman"/>
                <w:sz w:val="24"/>
                <w:szCs w:val="24"/>
              </w:rPr>
              <w:t>便携式PHS-3C</w:t>
            </w:r>
          </w:p>
        </w:tc>
        <w:tc>
          <w:tcPr>
            <w:tcW w:w="703" w:type="dxa"/>
            <w:vAlign w:val="center"/>
          </w:tcPr>
          <w:p w14:paraId="35760EAA">
            <w:pPr>
              <w:pStyle w:val="44"/>
              <w:jc w:val="center"/>
              <w:rPr>
                <w:rFonts w:hint="eastAsia" w:ascii="仿宋" w:hAnsi="仿宋" w:cs="Times New Roman"/>
                <w:sz w:val="24"/>
                <w:szCs w:val="24"/>
              </w:rPr>
            </w:pPr>
            <w:r>
              <w:rPr>
                <w:rFonts w:ascii="仿宋" w:hAnsi="仿宋" w:cs="Times New Roman"/>
                <w:sz w:val="24"/>
                <w:szCs w:val="24"/>
              </w:rPr>
              <w:t>1台</w:t>
            </w:r>
          </w:p>
        </w:tc>
        <w:tc>
          <w:tcPr>
            <w:tcW w:w="2586" w:type="dxa"/>
            <w:vAlign w:val="center"/>
          </w:tcPr>
          <w:p w14:paraId="30816198">
            <w:pPr>
              <w:pStyle w:val="44"/>
              <w:jc w:val="center"/>
              <w:rPr>
                <w:rFonts w:hint="eastAsia" w:ascii="仿宋" w:hAnsi="仿宋" w:cs="Times New Roman"/>
                <w:sz w:val="24"/>
                <w:szCs w:val="24"/>
              </w:rPr>
            </w:pPr>
            <w:r>
              <w:rPr>
                <w:rFonts w:ascii="仿宋" w:hAnsi="仿宋" w:cs="Times New Roman"/>
                <w:sz w:val="24"/>
                <w:szCs w:val="24"/>
              </w:rPr>
              <w:t>洗涤液、化料pH测定</w:t>
            </w:r>
          </w:p>
        </w:tc>
      </w:tr>
      <w:tr w14:paraId="68B67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751" w:type="dxa"/>
            <w:vAlign w:val="center"/>
          </w:tcPr>
          <w:p w14:paraId="3533C6B0">
            <w:pPr>
              <w:pStyle w:val="44"/>
              <w:jc w:val="center"/>
              <w:rPr>
                <w:rFonts w:hint="eastAsia" w:ascii="仿宋" w:hAnsi="仿宋" w:cs="Times New Roman"/>
                <w:sz w:val="24"/>
                <w:szCs w:val="24"/>
              </w:rPr>
            </w:pPr>
            <w:r>
              <w:rPr>
                <w:rFonts w:ascii="仿宋" w:hAnsi="仿宋" w:cs="Times New Roman"/>
                <w:sz w:val="24"/>
                <w:szCs w:val="24"/>
              </w:rPr>
              <w:t>6</w:t>
            </w:r>
          </w:p>
        </w:tc>
        <w:tc>
          <w:tcPr>
            <w:tcW w:w="1817" w:type="dxa"/>
            <w:vAlign w:val="center"/>
          </w:tcPr>
          <w:p w14:paraId="61810D72">
            <w:pPr>
              <w:pStyle w:val="44"/>
              <w:jc w:val="center"/>
              <w:rPr>
                <w:rFonts w:hint="eastAsia" w:ascii="仿宋" w:hAnsi="仿宋" w:cs="Times New Roman"/>
                <w:sz w:val="24"/>
                <w:szCs w:val="24"/>
              </w:rPr>
            </w:pPr>
            <w:r>
              <w:rPr>
                <w:rFonts w:ascii="仿宋" w:hAnsi="仿宋" w:cs="Times New Roman"/>
                <w:sz w:val="24"/>
                <w:szCs w:val="24"/>
              </w:rPr>
              <w:t>标准色卡/牛仔对样板</w:t>
            </w:r>
          </w:p>
        </w:tc>
        <w:tc>
          <w:tcPr>
            <w:tcW w:w="1912" w:type="dxa"/>
            <w:vAlign w:val="center"/>
          </w:tcPr>
          <w:p w14:paraId="1B54FD6C">
            <w:pPr>
              <w:pStyle w:val="44"/>
              <w:jc w:val="center"/>
              <w:rPr>
                <w:rFonts w:hint="eastAsia" w:ascii="仿宋" w:hAnsi="仿宋" w:cs="Times New Roman"/>
                <w:sz w:val="24"/>
                <w:szCs w:val="24"/>
              </w:rPr>
            </w:pPr>
            <w:r>
              <w:rPr>
                <w:rFonts w:ascii="仿宋" w:hAnsi="仿宋" w:cs="Times New Roman"/>
                <w:sz w:val="24"/>
                <w:szCs w:val="24"/>
              </w:rPr>
              <w:t>全套深浅色板</w:t>
            </w:r>
          </w:p>
        </w:tc>
        <w:tc>
          <w:tcPr>
            <w:tcW w:w="703" w:type="dxa"/>
            <w:vAlign w:val="center"/>
          </w:tcPr>
          <w:p w14:paraId="65889288">
            <w:pPr>
              <w:pStyle w:val="44"/>
              <w:jc w:val="center"/>
              <w:rPr>
                <w:rFonts w:hint="eastAsia" w:ascii="仿宋" w:hAnsi="仿宋" w:cs="Times New Roman"/>
                <w:sz w:val="24"/>
                <w:szCs w:val="24"/>
              </w:rPr>
            </w:pPr>
            <w:r>
              <w:rPr>
                <w:rFonts w:ascii="仿宋" w:hAnsi="仿宋" w:cs="Times New Roman"/>
                <w:sz w:val="24"/>
                <w:szCs w:val="24"/>
              </w:rPr>
              <w:t>1套</w:t>
            </w:r>
          </w:p>
        </w:tc>
        <w:tc>
          <w:tcPr>
            <w:tcW w:w="2586" w:type="dxa"/>
            <w:vAlign w:val="center"/>
          </w:tcPr>
          <w:p w14:paraId="50551092">
            <w:pPr>
              <w:pStyle w:val="44"/>
              <w:jc w:val="center"/>
              <w:rPr>
                <w:rFonts w:hint="eastAsia" w:ascii="仿宋" w:hAnsi="仿宋" w:cs="Times New Roman"/>
                <w:sz w:val="24"/>
                <w:szCs w:val="24"/>
              </w:rPr>
            </w:pPr>
            <w:r>
              <w:rPr>
                <w:rFonts w:ascii="仿宋" w:hAnsi="仿宋" w:cs="Times New Roman"/>
                <w:sz w:val="24"/>
                <w:szCs w:val="24"/>
              </w:rPr>
              <w:t>洗水过程色差对比</w:t>
            </w:r>
          </w:p>
        </w:tc>
      </w:tr>
      <w:tr w14:paraId="69F2D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751" w:type="dxa"/>
            <w:vAlign w:val="center"/>
          </w:tcPr>
          <w:p w14:paraId="7C5F95A6">
            <w:pPr>
              <w:pStyle w:val="44"/>
              <w:jc w:val="center"/>
              <w:rPr>
                <w:rFonts w:hint="eastAsia" w:ascii="仿宋" w:hAnsi="仿宋" w:cs="Times New Roman"/>
                <w:sz w:val="24"/>
                <w:szCs w:val="24"/>
              </w:rPr>
            </w:pPr>
            <w:r>
              <w:rPr>
                <w:rFonts w:ascii="仿宋" w:hAnsi="仿宋" w:cs="Times New Roman"/>
                <w:sz w:val="24"/>
                <w:szCs w:val="24"/>
              </w:rPr>
              <w:t>7</w:t>
            </w:r>
          </w:p>
        </w:tc>
        <w:tc>
          <w:tcPr>
            <w:tcW w:w="1817" w:type="dxa"/>
            <w:vAlign w:val="center"/>
          </w:tcPr>
          <w:p w14:paraId="112D30F3">
            <w:pPr>
              <w:pStyle w:val="44"/>
              <w:jc w:val="center"/>
              <w:rPr>
                <w:rFonts w:hint="eastAsia" w:ascii="仿宋" w:hAnsi="仿宋" w:cs="Times New Roman"/>
                <w:sz w:val="24"/>
                <w:szCs w:val="24"/>
              </w:rPr>
            </w:pPr>
            <w:r>
              <w:rPr>
                <w:rFonts w:ascii="仿宋" w:hAnsi="仿宋" w:cs="Times New Roman"/>
                <w:sz w:val="24"/>
                <w:szCs w:val="24"/>
              </w:rPr>
              <w:t>玻璃量杯、量筒、搅拌棒</w:t>
            </w:r>
          </w:p>
        </w:tc>
        <w:tc>
          <w:tcPr>
            <w:tcW w:w="1912" w:type="dxa"/>
            <w:vAlign w:val="center"/>
          </w:tcPr>
          <w:p w14:paraId="120FCD1C">
            <w:pPr>
              <w:pStyle w:val="44"/>
              <w:jc w:val="center"/>
              <w:rPr>
                <w:rFonts w:hint="eastAsia" w:ascii="仿宋" w:hAnsi="仿宋" w:cs="Times New Roman"/>
                <w:sz w:val="24"/>
                <w:szCs w:val="24"/>
              </w:rPr>
            </w:pPr>
            <w:r>
              <w:rPr>
                <w:rFonts w:ascii="仿宋" w:hAnsi="仿宋" w:cs="Times New Roman"/>
                <w:sz w:val="24"/>
                <w:szCs w:val="24"/>
              </w:rPr>
              <w:t>5mL-1000mL规格</w:t>
            </w:r>
          </w:p>
        </w:tc>
        <w:tc>
          <w:tcPr>
            <w:tcW w:w="703" w:type="dxa"/>
            <w:vAlign w:val="center"/>
          </w:tcPr>
          <w:p w14:paraId="34D23C8B">
            <w:pPr>
              <w:pStyle w:val="44"/>
              <w:jc w:val="center"/>
              <w:rPr>
                <w:rFonts w:hint="eastAsia" w:ascii="仿宋" w:hAnsi="仿宋" w:cs="Times New Roman"/>
                <w:sz w:val="24"/>
                <w:szCs w:val="24"/>
              </w:rPr>
            </w:pPr>
            <w:r>
              <w:rPr>
                <w:rFonts w:ascii="仿宋" w:hAnsi="仿宋" w:cs="Times New Roman"/>
                <w:sz w:val="24"/>
                <w:szCs w:val="24"/>
              </w:rPr>
              <w:t>全套</w:t>
            </w:r>
          </w:p>
        </w:tc>
        <w:tc>
          <w:tcPr>
            <w:tcW w:w="2586" w:type="dxa"/>
            <w:vAlign w:val="center"/>
          </w:tcPr>
          <w:p w14:paraId="73C3C5F4">
            <w:pPr>
              <w:pStyle w:val="44"/>
              <w:jc w:val="center"/>
              <w:rPr>
                <w:rFonts w:hint="eastAsia" w:ascii="仿宋" w:hAnsi="仿宋" w:cs="Times New Roman"/>
                <w:sz w:val="24"/>
                <w:szCs w:val="24"/>
              </w:rPr>
            </w:pPr>
            <w:r>
              <w:rPr>
                <w:rFonts w:ascii="仿宋" w:hAnsi="仿宋" w:cs="Times New Roman"/>
                <w:sz w:val="24"/>
                <w:szCs w:val="24"/>
              </w:rPr>
              <w:t>化料配比量取</w:t>
            </w:r>
          </w:p>
        </w:tc>
      </w:tr>
      <w:tr w14:paraId="5F960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751" w:type="dxa"/>
            <w:vAlign w:val="center"/>
          </w:tcPr>
          <w:p w14:paraId="4E0135F7">
            <w:pPr>
              <w:pStyle w:val="44"/>
              <w:jc w:val="center"/>
              <w:rPr>
                <w:rFonts w:hint="eastAsia" w:ascii="仿宋" w:hAnsi="仿宋" w:cs="Times New Roman"/>
                <w:sz w:val="24"/>
                <w:szCs w:val="24"/>
              </w:rPr>
            </w:pPr>
            <w:r>
              <w:rPr>
                <w:rFonts w:ascii="仿宋" w:hAnsi="仿宋" w:cs="Times New Roman"/>
                <w:sz w:val="24"/>
                <w:szCs w:val="24"/>
              </w:rPr>
              <w:t>8</w:t>
            </w:r>
          </w:p>
        </w:tc>
        <w:tc>
          <w:tcPr>
            <w:tcW w:w="1817" w:type="dxa"/>
            <w:vAlign w:val="center"/>
          </w:tcPr>
          <w:p w14:paraId="121D4488">
            <w:pPr>
              <w:pStyle w:val="44"/>
              <w:jc w:val="center"/>
              <w:rPr>
                <w:rFonts w:hint="eastAsia" w:ascii="仿宋" w:hAnsi="仿宋" w:cs="Times New Roman"/>
                <w:sz w:val="24"/>
                <w:szCs w:val="24"/>
              </w:rPr>
            </w:pPr>
            <w:r>
              <w:rPr>
                <w:rFonts w:ascii="仿宋" w:hAnsi="仿宋" w:cs="Times New Roman"/>
                <w:sz w:val="24"/>
                <w:szCs w:val="24"/>
              </w:rPr>
              <w:t>盛放塑料桶、分液漏斗、洗瓶</w:t>
            </w:r>
          </w:p>
        </w:tc>
        <w:tc>
          <w:tcPr>
            <w:tcW w:w="1912" w:type="dxa"/>
            <w:vAlign w:val="center"/>
          </w:tcPr>
          <w:p w14:paraId="778AC9E0">
            <w:pPr>
              <w:pStyle w:val="44"/>
              <w:jc w:val="center"/>
              <w:rPr>
                <w:rFonts w:hint="eastAsia" w:ascii="仿宋" w:hAnsi="仿宋" w:cs="Times New Roman"/>
                <w:sz w:val="24"/>
                <w:szCs w:val="24"/>
              </w:rPr>
            </w:pPr>
            <w:r>
              <w:rPr>
                <w:rFonts w:ascii="仿宋" w:hAnsi="仿宋" w:cs="Times New Roman"/>
                <w:sz w:val="24"/>
                <w:szCs w:val="24"/>
              </w:rPr>
              <w:t>500mL/1000mL</w:t>
            </w:r>
          </w:p>
        </w:tc>
        <w:tc>
          <w:tcPr>
            <w:tcW w:w="703" w:type="dxa"/>
            <w:vAlign w:val="center"/>
          </w:tcPr>
          <w:p w14:paraId="698CE121">
            <w:pPr>
              <w:pStyle w:val="44"/>
              <w:jc w:val="center"/>
              <w:rPr>
                <w:rFonts w:hint="eastAsia" w:ascii="仿宋" w:hAnsi="仿宋" w:cs="Times New Roman"/>
                <w:sz w:val="24"/>
                <w:szCs w:val="24"/>
              </w:rPr>
            </w:pPr>
            <w:r>
              <w:rPr>
                <w:rFonts w:ascii="仿宋" w:hAnsi="仿宋" w:cs="Times New Roman"/>
                <w:sz w:val="24"/>
                <w:szCs w:val="24"/>
              </w:rPr>
              <w:t>若干</w:t>
            </w:r>
          </w:p>
        </w:tc>
        <w:tc>
          <w:tcPr>
            <w:tcW w:w="2586" w:type="dxa"/>
            <w:vAlign w:val="center"/>
          </w:tcPr>
          <w:p w14:paraId="59A7E470">
            <w:pPr>
              <w:pStyle w:val="44"/>
              <w:jc w:val="center"/>
              <w:rPr>
                <w:rFonts w:hint="eastAsia" w:ascii="仿宋" w:hAnsi="仿宋" w:cs="Times New Roman"/>
                <w:sz w:val="24"/>
                <w:szCs w:val="24"/>
              </w:rPr>
            </w:pPr>
            <w:r>
              <w:rPr>
                <w:rFonts w:ascii="仿宋" w:hAnsi="仿宋" w:cs="Times New Roman"/>
                <w:sz w:val="24"/>
                <w:szCs w:val="24"/>
              </w:rPr>
              <w:t>助剂分装、清洗器具</w:t>
            </w:r>
          </w:p>
        </w:tc>
      </w:tr>
      <w:tr w14:paraId="042EE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751" w:type="dxa"/>
            <w:vAlign w:val="center"/>
          </w:tcPr>
          <w:p w14:paraId="38D6927B">
            <w:pPr>
              <w:pStyle w:val="44"/>
              <w:jc w:val="center"/>
              <w:rPr>
                <w:rFonts w:hint="eastAsia" w:ascii="仿宋" w:hAnsi="仿宋" w:cs="Times New Roman"/>
                <w:sz w:val="24"/>
                <w:szCs w:val="24"/>
              </w:rPr>
            </w:pPr>
            <w:r>
              <w:rPr>
                <w:rFonts w:ascii="仿宋" w:hAnsi="仿宋" w:cs="Times New Roman"/>
                <w:sz w:val="24"/>
                <w:szCs w:val="24"/>
              </w:rPr>
              <w:t>9</w:t>
            </w:r>
          </w:p>
        </w:tc>
        <w:tc>
          <w:tcPr>
            <w:tcW w:w="1817" w:type="dxa"/>
            <w:vAlign w:val="center"/>
          </w:tcPr>
          <w:p w14:paraId="3B648C5B">
            <w:pPr>
              <w:pStyle w:val="44"/>
              <w:jc w:val="center"/>
              <w:rPr>
                <w:rFonts w:hint="eastAsia" w:ascii="仿宋" w:hAnsi="仿宋" w:cs="Times New Roman"/>
                <w:sz w:val="24"/>
                <w:szCs w:val="24"/>
              </w:rPr>
            </w:pPr>
            <w:r>
              <w:rPr>
                <w:rFonts w:ascii="仿宋" w:hAnsi="仿宋" w:cs="Times New Roman"/>
                <w:sz w:val="24"/>
                <w:szCs w:val="24"/>
              </w:rPr>
              <w:t>标准浮石</w:t>
            </w:r>
          </w:p>
        </w:tc>
        <w:tc>
          <w:tcPr>
            <w:tcW w:w="1912" w:type="dxa"/>
            <w:vAlign w:val="center"/>
          </w:tcPr>
          <w:p w14:paraId="56D5DF64">
            <w:pPr>
              <w:pStyle w:val="44"/>
              <w:jc w:val="center"/>
              <w:rPr>
                <w:rFonts w:hint="eastAsia" w:ascii="仿宋" w:hAnsi="仿宋" w:cs="Times New Roman"/>
                <w:sz w:val="24"/>
                <w:szCs w:val="24"/>
              </w:rPr>
            </w:pPr>
            <w:r>
              <w:rPr>
                <w:rFonts w:hint="eastAsia" w:ascii="仿宋" w:hAnsi="仿宋" w:cs="Times New Roman"/>
                <w:sz w:val="24"/>
                <w:szCs w:val="24"/>
                <w:lang w:eastAsia="zh-CN"/>
              </w:rPr>
              <w:t>天然</w:t>
            </w:r>
            <w:r>
              <w:rPr>
                <w:rFonts w:ascii="仿宋" w:hAnsi="仿宋" w:cs="Times New Roman"/>
                <w:sz w:val="24"/>
                <w:szCs w:val="24"/>
              </w:rPr>
              <w:t>浮石1-5cm、环保浮石</w:t>
            </w:r>
          </w:p>
        </w:tc>
        <w:tc>
          <w:tcPr>
            <w:tcW w:w="703" w:type="dxa"/>
            <w:vAlign w:val="center"/>
          </w:tcPr>
          <w:p w14:paraId="36344AC1">
            <w:pPr>
              <w:pStyle w:val="44"/>
              <w:jc w:val="center"/>
              <w:rPr>
                <w:rFonts w:hint="eastAsia" w:ascii="仿宋" w:hAnsi="仿宋" w:cs="Times New Roman"/>
                <w:sz w:val="24"/>
                <w:szCs w:val="24"/>
              </w:rPr>
            </w:pPr>
            <w:r>
              <w:rPr>
                <w:rFonts w:ascii="仿宋" w:hAnsi="仿宋" w:cs="Times New Roman"/>
                <w:sz w:val="24"/>
                <w:szCs w:val="24"/>
              </w:rPr>
              <w:t>若干</w:t>
            </w:r>
          </w:p>
        </w:tc>
        <w:tc>
          <w:tcPr>
            <w:tcW w:w="2586" w:type="dxa"/>
            <w:vAlign w:val="center"/>
          </w:tcPr>
          <w:p w14:paraId="562FD586">
            <w:pPr>
              <w:pStyle w:val="44"/>
              <w:jc w:val="center"/>
              <w:rPr>
                <w:rFonts w:hint="eastAsia" w:ascii="仿宋" w:hAnsi="仿宋" w:cs="Times New Roman"/>
                <w:sz w:val="24"/>
                <w:szCs w:val="24"/>
              </w:rPr>
            </w:pPr>
            <w:r>
              <w:rPr>
                <w:rFonts w:ascii="仿宋" w:hAnsi="仿宋" w:cs="Times New Roman"/>
                <w:sz w:val="24"/>
                <w:szCs w:val="24"/>
              </w:rPr>
              <w:t>石磨洗、酵磨洗使用</w:t>
            </w:r>
          </w:p>
        </w:tc>
      </w:tr>
      <w:tr w14:paraId="06FCA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751" w:type="dxa"/>
            <w:vAlign w:val="center"/>
          </w:tcPr>
          <w:p w14:paraId="7EF4910C">
            <w:pPr>
              <w:pStyle w:val="44"/>
              <w:jc w:val="center"/>
              <w:rPr>
                <w:rFonts w:hint="eastAsia" w:ascii="仿宋" w:hAnsi="仿宋" w:cs="Times New Roman"/>
                <w:sz w:val="24"/>
                <w:szCs w:val="24"/>
              </w:rPr>
            </w:pPr>
            <w:r>
              <w:rPr>
                <w:rFonts w:ascii="仿宋" w:hAnsi="仿宋" w:cs="Times New Roman"/>
                <w:sz w:val="24"/>
                <w:szCs w:val="24"/>
              </w:rPr>
              <w:t>10</w:t>
            </w:r>
          </w:p>
        </w:tc>
        <w:tc>
          <w:tcPr>
            <w:tcW w:w="1817" w:type="dxa"/>
            <w:vAlign w:val="center"/>
          </w:tcPr>
          <w:p w14:paraId="503BA482">
            <w:pPr>
              <w:pStyle w:val="44"/>
              <w:jc w:val="center"/>
              <w:rPr>
                <w:rFonts w:hint="eastAsia" w:ascii="仿宋" w:hAnsi="仿宋" w:cs="Times New Roman"/>
                <w:sz w:val="24"/>
                <w:szCs w:val="24"/>
              </w:rPr>
            </w:pPr>
            <w:r>
              <w:rPr>
                <w:rFonts w:ascii="仿宋" w:hAnsi="仿宋" w:cs="Times New Roman"/>
                <w:sz w:val="24"/>
                <w:szCs w:val="24"/>
              </w:rPr>
              <w:t>全套劳保防护用品</w:t>
            </w:r>
          </w:p>
        </w:tc>
        <w:tc>
          <w:tcPr>
            <w:tcW w:w="1912" w:type="dxa"/>
            <w:vAlign w:val="center"/>
          </w:tcPr>
          <w:p w14:paraId="7B6DC18A">
            <w:pPr>
              <w:pStyle w:val="44"/>
              <w:jc w:val="center"/>
              <w:rPr>
                <w:rFonts w:hint="eastAsia" w:ascii="仿宋" w:hAnsi="仿宋" w:cs="Times New Roman"/>
                <w:sz w:val="24"/>
                <w:szCs w:val="24"/>
              </w:rPr>
            </w:pPr>
            <w:r>
              <w:rPr>
                <w:rFonts w:ascii="仿宋" w:hAnsi="仿宋" w:cs="Times New Roman"/>
                <w:sz w:val="24"/>
                <w:szCs w:val="24"/>
              </w:rPr>
              <w:t>口罩、护目镜、耐酸碱手套、防护服、头帽</w:t>
            </w:r>
          </w:p>
        </w:tc>
        <w:tc>
          <w:tcPr>
            <w:tcW w:w="703" w:type="dxa"/>
            <w:vAlign w:val="center"/>
          </w:tcPr>
          <w:p w14:paraId="1D173819">
            <w:pPr>
              <w:pStyle w:val="44"/>
              <w:jc w:val="center"/>
              <w:rPr>
                <w:rFonts w:hint="eastAsia" w:ascii="仿宋" w:hAnsi="仿宋" w:cs="Times New Roman"/>
                <w:sz w:val="24"/>
                <w:szCs w:val="24"/>
              </w:rPr>
            </w:pPr>
            <w:r>
              <w:rPr>
                <w:rFonts w:ascii="仿宋" w:hAnsi="仿宋" w:cs="Times New Roman"/>
                <w:sz w:val="24"/>
                <w:szCs w:val="24"/>
              </w:rPr>
              <w:t>1套</w:t>
            </w:r>
          </w:p>
        </w:tc>
        <w:tc>
          <w:tcPr>
            <w:tcW w:w="2586" w:type="dxa"/>
            <w:vAlign w:val="center"/>
          </w:tcPr>
          <w:p w14:paraId="7B860E91">
            <w:pPr>
              <w:pStyle w:val="44"/>
              <w:jc w:val="center"/>
              <w:rPr>
                <w:rFonts w:hint="eastAsia" w:ascii="仿宋" w:hAnsi="仿宋" w:cs="Times New Roman"/>
                <w:sz w:val="24"/>
                <w:szCs w:val="24"/>
              </w:rPr>
            </w:pPr>
            <w:r>
              <w:rPr>
                <w:rFonts w:ascii="仿宋" w:hAnsi="仿宋" w:cs="Times New Roman"/>
                <w:sz w:val="24"/>
                <w:szCs w:val="24"/>
              </w:rPr>
              <w:t>选手安全防护，可自备同款合规防护用品</w:t>
            </w:r>
          </w:p>
        </w:tc>
      </w:tr>
      <w:tr w14:paraId="6D68D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751" w:type="dxa"/>
            <w:vAlign w:val="center"/>
          </w:tcPr>
          <w:p w14:paraId="7387CE3A">
            <w:pPr>
              <w:pStyle w:val="44"/>
              <w:jc w:val="center"/>
              <w:rPr>
                <w:rFonts w:hint="eastAsia" w:ascii="仿宋" w:hAnsi="仿宋" w:cs="Times New Roman"/>
                <w:sz w:val="24"/>
                <w:szCs w:val="24"/>
              </w:rPr>
            </w:pPr>
            <w:r>
              <w:rPr>
                <w:rFonts w:ascii="仿宋" w:hAnsi="仿宋" w:cs="Times New Roman"/>
                <w:sz w:val="24"/>
                <w:szCs w:val="24"/>
              </w:rPr>
              <w:t>11</w:t>
            </w:r>
          </w:p>
        </w:tc>
        <w:tc>
          <w:tcPr>
            <w:tcW w:w="1817" w:type="dxa"/>
            <w:vAlign w:val="center"/>
          </w:tcPr>
          <w:p w14:paraId="019F848C">
            <w:pPr>
              <w:pStyle w:val="44"/>
              <w:jc w:val="center"/>
              <w:rPr>
                <w:rFonts w:hint="eastAsia" w:ascii="仿宋" w:hAnsi="仿宋" w:cs="Times New Roman"/>
                <w:sz w:val="24"/>
                <w:szCs w:val="24"/>
              </w:rPr>
            </w:pPr>
            <w:r>
              <w:rPr>
                <w:rFonts w:ascii="仿宋" w:hAnsi="仿宋" w:cs="Times New Roman"/>
                <w:sz w:val="24"/>
                <w:szCs w:val="24"/>
              </w:rPr>
              <w:t>应急物资</w:t>
            </w:r>
          </w:p>
        </w:tc>
        <w:tc>
          <w:tcPr>
            <w:tcW w:w="1912" w:type="dxa"/>
            <w:vAlign w:val="center"/>
          </w:tcPr>
          <w:p w14:paraId="4A37C57E">
            <w:pPr>
              <w:pStyle w:val="44"/>
              <w:jc w:val="center"/>
              <w:rPr>
                <w:rFonts w:hint="eastAsia" w:ascii="仿宋" w:hAnsi="仿宋" w:cs="Times New Roman"/>
                <w:sz w:val="24"/>
                <w:szCs w:val="24"/>
              </w:rPr>
            </w:pPr>
            <w:r>
              <w:rPr>
                <w:rFonts w:ascii="仿宋" w:hAnsi="仿宋" w:cs="Times New Roman"/>
                <w:sz w:val="24"/>
                <w:szCs w:val="24"/>
              </w:rPr>
              <w:t>洗眼器、中和药剂、急救箱、干粉灭火器</w:t>
            </w:r>
          </w:p>
        </w:tc>
        <w:tc>
          <w:tcPr>
            <w:tcW w:w="703" w:type="dxa"/>
            <w:vAlign w:val="center"/>
          </w:tcPr>
          <w:p w14:paraId="07A75DAC">
            <w:pPr>
              <w:pStyle w:val="44"/>
              <w:jc w:val="center"/>
              <w:rPr>
                <w:rFonts w:hint="eastAsia" w:ascii="仿宋" w:hAnsi="仿宋" w:cs="Times New Roman"/>
                <w:sz w:val="24"/>
                <w:szCs w:val="24"/>
              </w:rPr>
            </w:pPr>
            <w:r>
              <w:rPr>
                <w:rFonts w:ascii="仿宋" w:hAnsi="仿宋" w:cs="Times New Roman"/>
                <w:sz w:val="24"/>
                <w:szCs w:val="24"/>
              </w:rPr>
              <w:t>1套</w:t>
            </w:r>
          </w:p>
        </w:tc>
        <w:tc>
          <w:tcPr>
            <w:tcW w:w="2586" w:type="dxa"/>
            <w:vAlign w:val="center"/>
          </w:tcPr>
          <w:p w14:paraId="7D606553">
            <w:pPr>
              <w:pStyle w:val="44"/>
              <w:jc w:val="center"/>
              <w:rPr>
                <w:rFonts w:hint="eastAsia" w:ascii="仿宋" w:hAnsi="仿宋" w:cs="Times New Roman"/>
                <w:sz w:val="24"/>
                <w:szCs w:val="24"/>
              </w:rPr>
            </w:pPr>
            <w:r>
              <w:rPr>
                <w:rFonts w:ascii="仿宋" w:hAnsi="仿宋" w:cs="Times New Roman"/>
                <w:sz w:val="24"/>
                <w:szCs w:val="24"/>
              </w:rPr>
              <w:t>工位旁安全应急使用</w:t>
            </w:r>
          </w:p>
        </w:tc>
      </w:tr>
    </w:tbl>
    <w:p w14:paraId="6A705CB1">
      <w:pPr>
        <w:spacing w:before="240" w:line="360" w:lineRule="auto"/>
        <w:ind w:left="-181" w:leftChars="-86" w:firstLine="560" w:firstLineChars="200"/>
        <w:rPr>
          <w:rFonts w:hint="eastAsia" w:ascii="仿宋" w:hAnsi="仿宋" w:eastAsia="仿宋"/>
          <w:sz w:val="28"/>
          <w:szCs w:val="28"/>
        </w:rPr>
      </w:pPr>
      <w:r>
        <w:rPr>
          <w:rFonts w:hint="eastAsia" w:ascii="仿宋" w:hAnsi="仿宋" w:eastAsia="仿宋"/>
          <w:sz w:val="28"/>
          <w:szCs w:val="28"/>
        </w:rPr>
        <w:t>说明：未知设备包括但不限于电热水锅、小型制冰机、布条抹布等实验室现有基础装备，选手需要使用时必须征得裁判长同意，由赛场工作人员负责操作。</w:t>
      </w:r>
    </w:p>
    <w:p w14:paraId="421A3D35">
      <w:pPr>
        <w:adjustRightInd w:val="0"/>
        <w:snapToGrid w:val="0"/>
        <w:spacing w:line="360" w:lineRule="auto"/>
        <w:rPr>
          <w:rFonts w:hint="eastAsia" w:ascii="仿宋" w:hAnsi="仿宋" w:eastAsia="仿宋"/>
          <w:b/>
          <w:bCs/>
          <w:sz w:val="30"/>
          <w:szCs w:val="30"/>
        </w:rPr>
      </w:pPr>
      <w:bookmarkStart w:id="47" w:name="_Toc530340415"/>
      <w:r>
        <w:rPr>
          <w:rFonts w:hint="eastAsia" w:ascii="仿宋" w:hAnsi="仿宋" w:eastAsia="仿宋"/>
          <w:b/>
          <w:bCs/>
          <w:sz w:val="30"/>
          <w:szCs w:val="30"/>
        </w:rPr>
        <w:t>5</w:t>
      </w:r>
      <w:r>
        <w:rPr>
          <w:rFonts w:ascii="仿宋" w:hAnsi="仿宋" w:eastAsia="仿宋"/>
          <w:b/>
          <w:bCs/>
          <w:sz w:val="30"/>
          <w:szCs w:val="30"/>
        </w:rPr>
        <w:t>.1.2</w:t>
      </w:r>
      <w:r>
        <w:rPr>
          <w:rFonts w:hint="eastAsia" w:ascii="仿宋" w:hAnsi="仿宋" w:eastAsia="仿宋"/>
          <w:b/>
          <w:bCs/>
          <w:sz w:val="30"/>
          <w:szCs w:val="30"/>
        </w:rPr>
        <w:t>工具物料禁令</w:t>
      </w:r>
    </w:p>
    <w:p w14:paraId="43D46C73">
      <w:pPr>
        <w:spacing w:line="360" w:lineRule="auto"/>
        <w:ind w:left="-181" w:leftChars="-86" w:firstLine="560" w:firstLineChars="200"/>
        <w:rPr>
          <w:rFonts w:hint="eastAsia" w:ascii="仿宋" w:hAnsi="仿宋" w:eastAsia="仿宋"/>
          <w:sz w:val="28"/>
          <w:szCs w:val="28"/>
        </w:rPr>
      </w:pPr>
      <w:r>
        <w:rPr>
          <w:rFonts w:hint="eastAsia" w:ascii="仿宋" w:hAnsi="仿宋" w:eastAsia="仿宋"/>
          <w:sz w:val="28"/>
          <w:szCs w:val="28"/>
        </w:rPr>
        <w:t>未列入赛场配发清单的器具、化料、酶制剂、助剂一律禁止选手带入赛场；赛场配发所有物料、工具赛后统一回收，不得私自带离。</w:t>
      </w:r>
    </w:p>
    <w:p w14:paraId="4A4EBB7D">
      <w:pPr>
        <w:pStyle w:val="3"/>
        <w:adjustRightInd w:val="0"/>
        <w:snapToGrid w:val="0"/>
        <w:spacing w:line="360" w:lineRule="auto"/>
        <w:rPr>
          <w:rFonts w:hint="eastAsia" w:ascii="仿宋" w:hAnsi="仿宋" w:eastAsia="仿宋"/>
          <w:sz w:val="30"/>
          <w:szCs w:val="30"/>
        </w:rPr>
      </w:pPr>
      <w:bookmarkStart w:id="48" w:name="_Toc2450"/>
      <w:r>
        <w:rPr>
          <w:rFonts w:hint="eastAsia" w:ascii="仿宋" w:hAnsi="仿宋" w:eastAsia="仿宋"/>
          <w:sz w:val="30"/>
          <w:szCs w:val="30"/>
        </w:rPr>
        <w:t>5</w:t>
      </w:r>
      <w:r>
        <w:rPr>
          <w:rFonts w:ascii="仿宋" w:hAnsi="仿宋" w:eastAsia="仿宋"/>
          <w:sz w:val="30"/>
          <w:szCs w:val="30"/>
        </w:rPr>
        <w:t>.2比赛工位</w:t>
      </w:r>
      <w:r>
        <w:rPr>
          <w:rFonts w:hint="eastAsia" w:ascii="仿宋" w:hAnsi="仿宋" w:eastAsia="仿宋"/>
          <w:sz w:val="30"/>
          <w:szCs w:val="30"/>
        </w:rPr>
        <w:t>配置</w:t>
      </w:r>
      <w:r>
        <w:rPr>
          <w:rFonts w:ascii="仿宋" w:hAnsi="仿宋" w:eastAsia="仿宋"/>
          <w:sz w:val="30"/>
          <w:szCs w:val="30"/>
        </w:rPr>
        <w:t>设施</w:t>
      </w:r>
      <w:bookmarkEnd w:id="47"/>
      <w:bookmarkEnd w:id="48"/>
    </w:p>
    <w:p w14:paraId="5F59B330">
      <w:pPr>
        <w:adjustRightInd w:val="0"/>
        <w:snapToGrid w:val="0"/>
        <w:spacing w:line="360" w:lineRule="auto"/>
        <w:ind w:firstLine="480"/>
        <w:rPr>
          <w:rFonts w:hint="eastAsia" w:ascii="仿宋" w:hAnsi="仿宋" w:eastAsia="仿宋"/>
          <w:sz w:val="28"/>
          <w:szCs w:val="28"/>
        </w:rPr>
      </w:pPr>
      <w:r>
        <w:rPr>
          <w:rFonts w:ascii="仿宋" w:hAnsi="仿宋" w:eastAsia="仿宋"/>
          <w:sz w:val="28"/>
          <w:szCs w:val="28"/>
        </w:rPr>
        <w:t>根据竞赛需要，每个比赛工位配置如下设施，见表</w:t>
      </w:r>
      <w:r>
        <w:rPr>
          <w:rFonts w:hint="eastAsia" w:ascii="仿宋" w:hAnsi="仿宋" w:eastAsia="仿宋"/>
          <w:sz w:val="28"/>
          <w:szCs w:val="28"/>
        </w:rPr>
        <w:t>1</w:t>
      </w:r>
      <w:r>
        <w:rPr>
          <w:rFonts w:ascii="仿宋" w:hAnsi="仿宋" w:eastAsia="仿宋"/>
          <w:sz w:val="28"/>
          <w:szCs w:val="28"/>
        </w:rPr>
        <w:t>。</w:t>
      </w:r>
    </w:p>
    <w:p w14:paraId="219D1438">
      <w:pPr>
        <w:adjustRightInd w:val="0"/>
        <w:snapToGrid w:val="0"/>
        <w:spacing w:line="360" w:lineRule="auto"/>
        <w:ind w:firstLine="480"/>
        <w:jc w:val="center"/>
        <w:rPr>
          <w:rFonts w:hint="eastAsia" w:ascii="仿宋" w:hAnsi="仿宋" w:eastAsia="仿宋"/>
          <w:sz w:val="24"/>
        </w:rPr>
      </w:pPr>
      <w:r>
        <w:rPr>
          <w:rFonts w:ascii="仿宋" w:hAnsi="仿宋" w:eastAsia="仿宋"/>
          <w:sz w:val="24"/>
        </w:rPr>
        <w:t>表</w:t>
      </w:r>
      <w:r>
        <w:rPr>
          <w:rFonts w:hint="eastAsia" w:ascii="仿宋" w:hAnsi="仿宋" w:eastAsia="仿宋"/>
          <w:sz w:val="24"/>
        </w:rPr>
        <w:t>1</w:t>
      </w:r>
      <w:r>
        <w:rPr>
          <w:rFonts w:ascii="仿宋" w:hAnsi="仿宋" w:eastAsia="仿宋"/>
          <w:sz w:val="24"/>
        </w:rPr>
        <w:t>比赛工位</w:t>
      </w:r>
      <w:r>
        <w:rPr>
          <w:rFonts w:hint="eastAsia" w:ascii="仿宋" w:hAnsi="仿宋" w:eastAsia="仿宋"/>
          <w:sz w:val="24"/>
        </w:rPr>
        <w:t>配置</w:t>
      </w:r>
      <w:r>
        <w:rPr>
          <w:rFonts w:ascii="仿宋" w:hAnsi="仿宋" w:eastAsia="仿宋"/>
          <w:sz w:val="24"/>
        </w:rPr>
        <w:t>设施</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840"/>
        <w:gridCol w:w="3031"/>
        <w:gridCol w:w="784"/>
        <w:gridCol w:w="2278"/>
      </w:tblGrid>
      <w:tr w14:paraId="7CC41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blHeader/>
          <w:jc w:val="center"/>
        </w:trPr>
        <w:tc>
          <w:tcPr>
            <w:tcW w:w="760" w:type="dxa"/>
            <w:vAlign w:val="center"/>
          </w:tcPr>
          <w:p w14:paraId="3210FA05">
            <w:pPr>
              <w:jc w:val="center"/>
              <w:rPr>
                <w:rFonts w:hint="eastAsia" w:ascii="仿宋" w:hAnsi="仿宋" w:eastAsia="仿宋"/>
                <w:b/>
                <w:sz w:val="24"/>
              </w:rPr>
            </w:pPr>
            <w:r>
              <w:rPr>
                <w:rFonts w:ascii="仿宋" w:hAnsi="仿宋" w:eastAsia="仿宋"/>
                <w:b/>
                <w:sz w:val="24"/>
              </w:rPr>
              <w:t>序号</w:t>
            </w:r>
          </w:p>
        </w:tc>
        <w:tc>
          <w:tcPr>
            <w:tcW w:w="1840" w:type="dxa"/>
            <w:vAlign w:val="center"/>
          </w:tcPr>
          <w:p w14:paraId="448885AB">
            <w:pPr>
              <w:jc w:val="center"/>
              <w:rPr>
                <w:rFonts w:hint="eastAsia" w:ascii="仿宋" w:hAnsi="仿宋" w:eastAsia="仿宋"/>
                <w:b/>
                <w:sz w:val="24"/>
              </w:rPr>
            </w:pPr>
            <w:r>
              <w:rPr>
                <w:rFonts w:ascii="仿宋" w:hAnsi="仿宋" w:eastAsia="仿宋"/>
                <w:b/>
                <w:sz w:val="24"/>
              </w:rPr>
              <w:t>名称</w:t>
            </w:r>
          </w:p>
        </w:tc>
        <w:tc>
          <w:tcPr>
            <w:tcW w:w="3031" w:type="dxa"/>
            <w:vAlign w:val="center"/>
          </w:tcPr>
          <w:p w14:paraId="19A25452">
            <w:pPr>
              <w:jc w:val="center"/>
              <w:rPr>
                <w:rFonts w:hint="eastAsia" w:ascii="仿宋" w:hAnsi="仿宋" w:eastAsia="仿宋"/>
                <w:b/>
                <w:sz w:val="24"/>
              </w:rPr>
            </w:pPr>
            <w:r>
              <w:rPr>
                <w:rFonts w:ascii="仿宋" w:hAnsi="仿宋" w:eastAsia="仿宋"/>
                <w:b/>
                <w:sz w:val="24"/>
              </w:rPr>
              <w:t>规格</w:t>
            </w:r>
          </w:p>
        </w:tc>
        <w:tc>
          <w:tcPr>
            <w:tcW w:w="784" w:type="dxa"/>
            <w:vAlign w:val="center"/>
          </w:tcPr>
          <w:p w14:paraId="7A1B8AA0">
            <w:pPr>
              <w:jc w:val="center"/>
              <w:rPr>
                <w:rFonts w:hint="eastAsia" w:ascii="仿宋" w:hAnsi="仿宋" w:eastAsia="仿宋"/>
                <w:b/>
                <w:sz w:val="24"/>
              </w:rPr>
            </w:pPr>
            <w:r>
              <w:rPr>
                <w:rFonts w:ascii="仿宋" w:hAnsi="仿宋" w:eastAsia="仿宋"/>
                <w:b/>
                <w:sz w:val="24"/>
              </w:rPr>
              <w:t>数量</w:t>
            </w:r>
          </w:p>
        </w:tc>
        <w:tc>
          <w:tcPr>
            <w:tcW w:w="2278" w:type="dxa"/>
            <w:vAlign w:val="center"/>
          </w:tcPr>
          <w:p w14:paraId="6A57D864">
            <w:pPr>
              <w:jc w:val="center"/>
              <w:rPr>
                <w:rFonts w:hint="eastAsia" w:ascii="仿宋" w:hAnsi="仿宋" w:eastAsia="仿宋"/>
                <w:b/>
                <w:sz w:val="24"/>
              </w:rPr>
            </w:pPr>
            <w:r>
              <w:rPr>
                <w:rFonts w:ascii="仿宋" w:hAnsi="仿宋" w:eastAsia="仿宋"/>
                <w:b/>
                <w:sz w:val="24"/>
              </w:rPr>
              <w:t>备注</w:t>
            </w:r>
          </w:p>
        </w:tc>
      </w:tr>
      <w:tr w14:paraId="05B45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760" w:type="dxa"/>
            <w:vAlign w:val="center"/>
          </w:tcPr>
          <w:p w14:paraId="2B2FCB8B">
            <w:pPr>
              <w:jc w:val="center"/>
              <w:rPr>
                <w:rFonts w:hint="eastAsia" w:ascii="仿宋" w:hAnsi="仿宋" w:eastAsia="仿宋"/>
                <w:sz w:val="24"/>
              </w:rPr>
            </w:pPr>
            <w:r>
              <w:rPr>
                <w:rFonts w:ascii="仿宋" w:hAnsi="仿宋" w:eastAsia="仿宋"/>
                <w:sz w:val="24"/>
              </w:rPr>
              <w:t>1</w:t>
            </w:r>
          </w:p>
        </w:tc>
        <w:tc>
          <w:tcPr>
            <w:tcW w:w="1840" w:type="dxa"/>
            <w:vAlign w:val="center"/>
          </w:tcPr>
          <w:p w14:paraId="06B3BD1D">
            <w:pPr>
              <w:jc w:val="center"/>
              <w:rPr>
                <w:rFonts w:hint="eastAsia" w:ascii="仿宋" w:hAnsi="仿宋" w:eastAsia="仿宋"/>
                <w:sz w:val="24"/>
              </w:rPr>
            </w:pPr>
            <w:r>
              <w:rPr>
                <w:rFonts w:ascii="仿宋" w:hAnsi="仿宋" w:eastAsia="仿宋"/>
                <w:sz w:val="24"/>
              </w:rPr>
              <w:t>操作工作台</w:t>
            </w:r>
          </w:p>
        </w:tc>
        <w:tc>
          <w:tcPr>
            <w:tcW w:w="3031" w:type="dxa"/>
            <w:vAlign w:val="center"/>
          </w:tcPr>
          <w:p w14:paraId="402E6C19">
            <w:pPr>
              <w:jc w:val="center"/>
              <w:rPr>
                <w:rFonts w:hint="eastAsia" w:ascii="仿宋" w:hAnsi="仿宋" w:eastAsia="仿宋"/>
                <w:sz w:val="24"/>
              </w:rPr>
            </w:pPr>
            <w:r>
              <w:rPr>
                <w:rFonts w:ascii="仿宋" w:hAnsi="仿宋" w:eastAsia="仿宋"/>
                <w:sz w:val="24"/>
              </w:rPr>
              <w:t>长1400mm×宽600mm×高780mm</w:t>
            </w:r>
          </w:p>
        </w:tc>
        <w:tc>
          <w:tcPr>
            <w:tcW w:w="784" w:type="dxa"/>
            <w:vAlign w:val="center"/>
          </w:tcPr>
          <w:p w14:paraId="06953372">
            <w:pPr>
              <w:jc w:val="center"/>
              <w:rPr>
                <w:rFonts w:hint="eastAsia" w:ascii="仿宋" w:hAnsi="仿宋" w:eastAsia="仿宋"/>
                <w:sz w:val="24"/>
              </w:rPr>
            </w:pPr>
            <w:r>
              <w:rPr>
                <w:rFonts w:ascii="仿宋" w:hAnsi="仿宋" w:eastAsia="仿宋"/>
                <w:sz w:val="24"/>
              </w:rPr>
              <w:t>1张</w:t>
            </w:r>
          </w:p>
        </w:tc>
        <w:tc>
          <w:tcPr>
            <w:tcW w:w="2278" w:type="dxa"/>
            <w:vAlign w:val="center"/>
          </w:tcPr>
          <w:p w14:paraId="025CB156">
            <w:pPr>
              <w:jc w:val="center"/>
              <w:rPr>
                <w:rFonts w:hint="eastAsia" w:ascii="仿宋" w:hAnsi="仿宋" w:eastAsia="仿宋"/>
                <w:sz w:val="24"/>
              </w:rPr>
            </w:pPr>
            <w:r>
              <w:rPr>
                <w:rFonts w:ascii="仿宋" w:hAnsi="仿宋" w:eastAsia="仿宋"/>
                <w:sz w:val="24"/>
              </w:rPr>
              <w:t>化料配制、单据填写、成衣摆放</w:t>
            </w:r>
          </w:p>
        </w:tc>
      </w:tr>
      <w:tr w14:paraId="37256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60" w:type="dxa"/>
            <w:vAlign w:val="center"/>
          </w:tcPr>
          <w:p w14:paraId="21D6C54E">
            <w:pPr>
              <w:jc w:val="center"/>
              <w:rPr>
                <w:rFonts w:hint="eastAsia" w:ascii="仿宋" w:hAnsi="仿宋" w:eastAsia="仿宋"/>
                <w:sz w:val="24"/>
              </w:rPr>
            </w:pPr>
            <w:r>
              <w:rPr>
                <w:rFonts w:ascii="仿宋" w:hAnsi="仿宋" w:eastAsia="仿宋"/>
                <w:sz w:val="24"/>
              </w:rPr>
              <w:t>2</w:t>
            </w:r>
          </w:p>
        </w:tc>
        <w:tc>
          <w:tcPr>
            <w:tcW w:w="1840" w:type="dxa"/>
            <w:vAlign w:val="center"/>
          </w:tcPr>
          <w:p w14:paraId="4C17868F">
            <w:pPr>
              <w:jc w:val="center"/>
              <w:rPr>
                <w:rFonts w:hint="eastAsia" w:ascii="仿宋" w:hAnsi="仿宋" w:eastAsia="仿宋"/>
                <w:sz w:val="24"/>
              </w:rPr>
            </w:pPr>
            <w:r>
              <w:rPr>
                <w:rFonts w:ascii="仿宋" w:hAnsi="仿宋" w:eastAsia="仿宋"/>
                <w:sz w:val="24"/>
              </w:rPr>
              <w:t>圆凳</w:t>
            </w:r>
          </w:p>
        </w:tc>
        <w:tc>
          <w:tcPr>
            <w:tcW w:w="3031" w:type="dxa"/>
            <w:vAlign w:val="center"/>
          </w:tcPr>
          <w:p w14:paraId="4755A3F1">
            <w:pPr>
              <w:jc w:val="center"/>
              <w:rPr>
                <w:rFonts w:hint="eastAsia" w:ascii="仿宋" w:hAnsi="仿宋" w:eastAsia="仿宋"/>
                <w:sz w:val="24"/>
              </w:rPr>
            </w:pPr>
            <w:r>
              <w:rPr>
                <w:rFonts w:ascii="仿宋" w:hAnsi="仿宋" w:eastAsia="仿宋"/>
                <w:sz w:val="24"/>
              </w:rPr>
              <w:t>防滑耐磨工业圆凳</w:t>
            </w:r>
          </w:p>
        </w:tc>
        <w:tc>
          <w:tcPr>
            <w:tcW w:w="784" w:type="dxa"/>
            <w:vAlign w:val="center"/>
          </w:tcPr>
          <w:p w14:paraId="4A41851F">
            <w:pPr>
              <w:jc w:val="center"/>
              <w:rPr>
                <w:rFonts w:hint="eastAsia" w:ascii="仿宋" w:hAnsi="仿宋" w:eastAsia="仿宋"/>
                <w:sz w:val="24"/>
              </w:rPr>
            </w:pPr>
            <w:r>
              <w:rPr>
                <w:rFonts w:ascii="仿宋" w:hAnsi="仿宋" w:eastAsia="仿宋"/>
                <w:sz w:val="24"/>
              </w:rPr>
              <w:t>1把</w:t>
            </w:r>
          </w:p>
        </w:tc>
        <w:tc>
          <w:tcPr>
            <w:tcW w:w="2278" w:type="dxa"/>
            <w:vAlign w:val="center"/>
          </w:tcPr>
          <w:p w14:paraId="21DC9B04">
            <w:pPr>
              <w:jc w:val="center"/>
              <w:rPr>
                <w:rFonts w:hint="eastAsia" w:ascii="仿宋" w:hAnsi="仿宋" w:eastAsia="仿宋"/>
                <w:sz w:val="24"/>
              </w:rPr>
            </w:pPr>
            <w:r>
              <w:rPr>
                <w:rFonts w:ascii="仿宋" w:hAnsi="仿宋" w:eastAsia="仿宋"/>
                <w:sz w:val="24"/>
              </w:rPr>
              <w:t>选手操作座椅</w:t>
            </w:r>
          </w:p>
        </w:tc>
      </w:tr>
      <w:tr w14:paraId="0025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760" w:type="dxa"/>
            <w:vAlign w:val="center"/>
          </w:tcPr>
          <w:p w14:paraId="7E5DFD9B">
            <w:pPr>
              <w:jc w:val="center"/>
              <w:rPr>
                <w:rFonts w:hint="eastAsia" w:ascii="仿宋" w:hAnsi="仿宋" w:eastAsia="仿宋"/>
                <w:sz w:val="24"/>
              </w:rPr>
            </w:pPr>
            <w:r>
              <w:rPr>
                <w:rFonts w:ascii="仿宋" w:hAnsi="仿宋" w:eastAsia="仿宋"/>
                <w:sz w:val="24"/>
              </w:rPr>
              <w:t>3</w:t>
            </w:r>
          </w:p>
        </w:tc>
        <w:tc>
          <w:tcPr>
            <w:tcW w:w="1840" w:type="dxa"/>
            <w:vAlign w:val="center"/>
          </w:tcPr>
          <w:p w14:paraId="28A7C731">
            <w:pPr>
              <w:jc w:val="center"/>
              <w:rPr>
                <w:rFonts w:hint="eastAsia" w:ascii="仿宋" w:hAnsi="仿宋" w:eastAsia="仿宋"/>
                <w:sz w:val="24"/>
              </w:rPr>
            </w:pPr>
            <w:r>
              <w:rPr>
                <w:rFonts w:ascii="仿宋" w:hAnsi="仿宋" w:eastAsia="仿宋"/>
                <w:sz w:val="24"/>
              </w:rPr>
              <w:t>分类垃圾桶</w:t>
            </w:r>
          </w:p>
        </w:tc>
        <w:tc>
          <w:tcPr>
            <w:tcW w:w="3031" w:type="dxa"/>
            <w:vAlign w:val="center"/>
          </w:tcPr>
          <w:p w14:paraId="49C76733">
            <w:pPr>
              <w:jc w:val="center"/>
              <w:rPr>
                <w:rFonts w:hint="eastAsia" w:ascii="仿宋" w:hAnsi="仿宋" w:eastAsia="仿宋"/>
                <w:sz w:val="24"/>
              </w:rPr>
            </w:pPr>
            <w:r>
              <w:rPr>
                <w:rFonts w:ascii="仿宋" w:hAnsi="仿宋" w:eastAsia="仿宋"/>
                <w:sz w:val="24"/>
              </w:rPr>
              <w:t>可回收/危废/普通垃圾三分类</w:t>
            </w:r>
          </w:p>
        </w:tc>
        <w:tc>
          <w:tcPr>
            <w:tcW w:w="784" w:type="dxa"/>
            <w:vAlign w:val="center"/>
          </w:tcPr>
          <w:p w14:paraId="03CF2BFF">
            <w:pPr>
              <w:jc w:val="center"/>
              <w:rPr>
                <w:rFonts w:hint="eastAsia" w:ascii="仿宋" w:hAnsi="仿宋" w:eastAsia="仿宋"/>
                <w:sz w:val="24"/>
              </w:rPr>
            </w:pPr>
            <w:r>
              <w:rPr>
                <w:rFonts w:ascii="仿宋" w:hAnsi="仿宋" w:eastAsia="仿宋"/>
                <w:sz w:val="24"/>
              </w:rPr>
              <w:t>1组</w:t>
            </w:r>
          </w:p>
        </w:tc>
        <w:tc>
          <w:tcPr>
            <w:tcW w:w="2278" w:type="dxa"/>
            <w:vAlign w:val="center"/>
          </w:tcPr>
          <w:p w14:paraId="39A87CA3">
            <w:pPr>
              <w:jc w:val="center"/>
              <w:rPr>
                <w:rFonts w:hint="eastAsia" w:ascii="仿宋" w:hAnsi="仿宋" w:eastAsia="仿宋"/>
                <w:sz w:val="24"/>
              </w:rPr>
            </w:pPr>
            <w:r>
              <w:rPr>
                <w:rFonts w:ascii="仿宋" w:hAnsi="仿宋" w:eastAsia="仿宋"/>
                <w:sz w:val="24"/>
              </w:rPr>
              <w:t>洗涤废料、废助剂、杂物收纳</w:t>
            </w:r>
          </w:p>
        </w:tc>
      </w:tr>
      <w:tr w14:paraId="5557E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760" w:type="dxa"/>
            <w:vAlign w:val="center"/>
          </w:tcPr>
          <w:p w14:paraId="1A23591B">
            <w:pPr>
              <w:jc w:val="center"/>
              <w:rPr>
                <w:rFonts w:hint="eastAsia" w:ascii="仿宋" w:hAnsi="仿宋" w:eastAsia="仿宋"/>
                <w:sz w:val="24"/>
              </w:rPr>
            </w:pPr>
            <w:r>
              <w:rPr>
                <w:rFonts w:ascii="仿宋" w:hAnsi="仿宋" w:eastAsia="仿宋"/>
                <w:sz w:val="24"/>
              </w:rPr>
              <w:t>4</w:t>
            </w:r>
          </w:p>
        </w:tc>
        <w:tc>
          <w:tcPr>
            <w:tcW w:w="1840" w:type="dxa"/>
            <w:vAlign w:val="center"/>
          </w:tcPr>
          <w:p w14:paraId="79B3907B">
            <w:pPr>
              <w:jc w:val="center"/>
              <w:rPr>
                <w:rFonts w:hint="eastAsia" w:ascii="仿宋" w:hAnsi="仿宋" w:eastAsia="仿宋"/>
                <w:sz w:val="24"/>
              </w:rPr>
            </w:pPr>
            <w:r>
              <w:rPr>
                <w:rFonts w:ascii="仿宋" w:hAnsi="仿宋" w:eastAsia="仿宋"/>
                <w:sz w:val="24"/>
              </w:rPr>
              <w:t>供水、排水接口</w:t>
            </w:r>
          </w:p>
        </w:tc>
        <w:tc>
          <w:tcPr>
            <w:tcW w:w="3031" w:type="dxa"/>
            <w:vAlign w:val="center"/>
          </w:tcPr>
          <w:p w14:paraId="6F4C0815">
            <w:pPr>
              <w:jc w:val="center"/>
              <w:rPr>
                <w:rFonts w:hint="eastAsia" w:ascii="仿宋" w:hAnsi="仿宋" w:eastAsia="仿宋"/>
                <w:sz w:val="24"/>
              </w:rPr>
            </w:pPr>
            <w:r>
              <w:rPr>
                <w:rFonts w:ascii="仿宋" w:hAnsi="仿宋" w:eastAsia="仿宋"/>
                <w:sz w:val="24"/>
              </w:rPr>
              <w:t>冷热自来水、污水管道</w:t>
            </w:r>
          </w:p>
        </w:tc>
        <w:tc>
          <w:tcPr>
            <w:tcW w:w="784" w:type="dxa"/>
            <w:vAlign w:val="center"/>
          </w:tcPr>
          <w:p w14:paraId="4848B4EE">
            <w:pPr>
              <w:jc w:val="center"/>
              <w:rPr>
                <w:rFonts w:hint="eastAsia" w:ascii="仿宋" w:hAnsi="仿宋" w:eastAsia="仿宋"/>
                <w:sz w:val="24"/>
              </w:rPr>
            </w:pPr>
            <w:r>
              <w:rPr>
                <w:rFonts w:ascii="仿宋" w:hAnsi="仿宋" w:eastAsia="仿宋"/>
                <w:sz w:val="24"/>
              </w:rPr>
              <w:t>1套</w:t>
            </w:r>
          </w:p>
        </w:tc>
        <w:tc>
          <w:tcPr>
            <w:tcW w:w="2278" w:type="dxa"/>
            <w:vAlign w:val="center"/>
          </w:tcPr>
          <w:p w14:paraId="045B8DD8">
            <w:pPr>
              <w:jc w:val="center"/>
              <w:rPr>
                <w:rFonts w:hint="eastAsia" w:ascii="仿宋" w:hAnsi="仿宋" w:eastAsia="仿宋"/>
                <w:sz w:val="24"/>
              </w:rPr>
            </w:pPr>
            <w:r>
              <w:rPr>
                <w:rFonts w:ascii="仿宋" w:hAnsi="仿宋" w:eastAsia="仿宋"/>
                <w:sz w:val="24"/>
              </w:rPr>
              <w:t>工位清洗、化料调配用水</w:t>
            </w:r>
          </w:p>
        </w:tc>
      </w:tr>
      <w:tr w14:paraId="1AFC7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760" w:type="dxa"/>
            <w:vAlign w:val="center"/>
          </w:tcPr>
          <w:p w14:paraId="5726C0D8">
            <w:pPr>
              <w:jc w:val="center"/>
              <w:rPr>
                <w:rFonts w:hint="eastAsia" w:ascii="仿宋" w:hAnsi="仿宋" w:eastAsia="仿宋"/>
                <w:sz w:val="24"/>
              </w:rPr>
            </w:pPr>
            <w:r>
              <w:rPr>
                <w:rFonts w:ascii="仿宋" w:hAnsi="仿宋" w:eastAsia="仿宋"/>
                <w:sz w:val="24"/>
              </w:rPr>
              <w:t>5</w:t>
            </w:r>
          </w:p>
        </w:tc>
        <w:tc>
          <w:tcPr>
            <w:tcW w:w="1840" w:type="dxa"/>
            <w:vAlign w:val="center"/>
          </w:tcPr>
          <w:p w14:paraId="6A63C807">
            <w:pPr>
              <w:jc w:val="center"/>
              <w:rPr>
                <w:rFonts w:hint="eastAsia" w:ascii="仿宋" w:hAnsi="仿宋" w:eastAsia="仿宋"/>
                <w:sz w:val="24"/>
              </w:rPr>
            </w:pPr>
            <w:r>
              <w:rPr>
                <w:rFonts w:ascii="仿宋" w:hAnsi="仿宋" w:eastAsia="仿宋"/>
                <w:sz w:val="24"/>
              </w:rPr>
              <w:t>蒸汽接口</w:t>
            </w:r>
          </w:p>
        </w:tc>
        <w:tc>
          <w:tcPr>
            <w:tcW w:w="3031" w:type="dxa"/>
            <w:vAlign w:val="center"/>
          </w:tcPr>
          <w:p w14:paraId="4A1B28D1">
            <w:pPr>
              <w:jc w:val="center"/>
              <w:rPr>
                <w:rFonts w:hint="eastAsia" w:ascii="仿宋" w:hAnsi="仿宋" w:eastAsia="仿宋"/>
                <w:sz w:val="24"/>
              </w:rPr>
            </w:pPr>
            <w:r>
              <w:rPr>
                <w:rFonts w:ascii="仿宋" w:hAnsi="仿宋" w:eastAsia="仿宋"/>
                <w:sz w:val="24"/>
              </w:rPr>
              <w:t>可控温蒸汽管道</w:t>
            </w:r>
          </w:p>
        </w:tc>
        <w:tc>
          <w:tcPr>
            <w:tcW w:w="784" w:type="dxa"/>
            <w:vAlign w:val="center"/>
          </w:tcPr>
          <w:p w14:paraId="3ADBAD53">
            <w:pPr>
              <w:jc w:val="center"/>
              <w:rPr>
                <w:rFonts w:hint="eastAsia" w:ascii="仿宋" w:hAnsi="仿宋" w:eastAsia="仿宋"/>
                <w:sz w:val="24"/>
              </w:rPr>
            </w:pPr>
            <w:r>
              <w:rPr>
                <w:rFonts w:ascii="仿宋" w:hAnsi="仿宋" w:eastAsia="仿宋"/>
                <w:sz w:val="24"/>
              </w:rPr>
              <w:t>1套</w:t>
            </w:r>
          </w:p>
        </w:tc>
        <w:tc>
          <w:tcPr>
            <w:tcW w:w="2278" w:type="dxa"/>
            <w:vAlign w:val="center"/>
          </w:tcPr>
          <w:p w14:paraId="2E7B3158">
            <w:pPr>
              <w:jc w:val="center"/>
              <w:rPr>
                <w:rFonts w:hint="eastAsia" w:ascii="仿宋" w:hAnsi="仿宋" w:eastAsia="仿宋"/>
                <w:sz w:val="24"/>
              </w:rPr>
            </w:pPr>
            <w:r>
              <w:rPr>
                <w:rFonts w:ascii="仿宋" w:hAnsi="仿宋" w:eastAsia="仿宋"/>
                <w:sz w:val="24"/>
              </w:rPr>
              <w:t>烘干机、洗脱机供热</w:t>
            </w:r>
          </w:p>
        </w:tc>
      </w:tr>
      <w:tr w14:paraId="74861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760" w:type="dxa"/>
            <w:vAlign w:val="center"/>
          </w:tcPr>
          <w:p w14:paraId="4D157EB8">
            <w:pPr>
              <w:jc w:val="center"/>
              <w:rPr>
                <w:rFonts w:hint="eastAsia" w:ascii="仿宋" w:hAnsi="仿宋" w:eastAsia="仿宋"/>
                <w:sz w:val="24"/>
              </w:rPr>
            </w:pPr>
            <w:r>
              <w:rPr>
                <w:rFonts w:ascii="仿宋" w:hAnsi="仿宋" w:eastAsia="仿宋"/>
                <w:sz w:val="24"/>
              </w:rPr>
              <w:t>6</w:t>
            </w:r>
          </w:p>
        </w:tc>
        <w:tc>
          <w:tcPr>
            <w:tcW w:w="1840" w:type="dxa"/>
            <w:vAlign w:val="center"/>
          </w:tcPr>
          <w:p w14:paraId="374FF7BC">
            <w:pPr>
              <w:jc w:val="center"/>
              <w:rPr>
                <w:rFonts w:hint="eastAsia" w:ascii="仿宋" w:hAnsi="仿宋" w:eastAsia="仿宋"/>
                <w:sz w:val="24"/>
              </w:rPr>
            </w:pPr>
            <w:r>
              <w:rPr>
                <w:rFonts w:ascii="仿宋" w:hAnsi="仿宋" w:eastAsia="仿宋"/>
                <w:sz w:val="24"/>
              </w:rPr>
              <w:t>工位照明</w:t>
            </w:r>
          </w:p>
        </w:tc>
        <w:tc>
          <w:tcPr>
            <w:tcW w:w="3031" w:type="dxa"/>
            <w:vAlign w:val="center"/>
          </w:tcPr>
          <w:p w14:paraId="731697BD">
            <w:pPr>
              <w:jc w:val="center"/>
              <w:rPr>
                <w:rFonts w:hint="eastAsia" w:ascii="仿宋" w:hAnsi="仿宋" w:eastAsia="仿宋"/>
                <w:sz w:val="24"/>
              </w:rPr>
            </w:pPr>
            <w:r>
              <w:rPr>
                <w:rFonts w:ascii="仿宋" w:hAnsi="仿宋" w:eastAsia="仿宋"/>
                <w:sz w:val="24"/>
              </w:rPr>
              <w:t>4000K标准自然光照明</w:t>
            </w:r>
          </w:p>
        </w:tc>
        <w:tc>
          <w:tcPr>
            <w:tcW w:w="784" w:type="dxa"/>
            <w:vAlign w:val="center"/>
          </w:tcPr>
          <w:p w14:paraId="37C87084">
            <w:pPr>
              <w:jc w:val="center"/>
              <w:rPr>
                <w:rFonts w:hint="eastAsia" w:ascii="仿宋" w:hAnsi="仿宋" w:eastAsia="仿宋"/>
                <w:sz w:val="24"/>
              </w:rPr>
            </w:pPr>
            <w:r>
              <w:rPr>
                <w:rFonts w:ascii="仿宋" w:hAnsi="仿宋" w:eastAsia="仿宋"/>
                <w:sz w:val="24"/>
              </w:rPr>
              <w:t>1组</w:t>
            </w:r>
          </w:p>
        </w:tc>
        <w:tc>
          <w:tcPr>
            <w:tcW w:w="2278" w:type="dxa"/>
            <w:vAlign w:val="center"/>
          </w:tcPr>
          <w:p w14:paraId="76AC28BE">
            <w:pPr>
              <w:jc w:val="center"/>
              <w:rPr>
                <w:rFonts w:hint="eastAsia" w:ascii="仿宋" w:hAnsi="仿宋" w:eastAsia="仿宋"/>
                <w:sz w:val="24"/>
              </w:rPr>
            </w:pPr>
            <w:r>
              <w:rPr>
                <w:rFonts w:ascii="仿宋" w:hAnsi="仿宋" w:eastAsia="仿宋"/>
                <w:sz w:val="24"/>
              </w:rPr>
              <w:t>分色、对样色差识别专用光源</w:t>
            </w:r>
          </w:p>
        </w:tc>
      </w:tr>
      <w:tr w14:paraId="68AC5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760" w:type="dxa"/>
            <w:vAlign w:val="center"/>
          </w:tcPr>
          <w:p w14:paraId="1E74A772">
            <w:pPr>
              <w:jc w:val="center"/>
              <w:rPr>
                <w:rFonts w:hint="eastAsia" w:ascii="仿宋" w:hAnsi="仿宋" w:eastAsia="仿宋"/>
                <w:sz w:val="24"/>
              </w:rPr>
            </w:pPr>
            <w:r>
              <w:rPr>
                <w:rFonts w:ascii="仿宋" w:hAnsi="仿宋" w:eastAsia="仿宋"/>
                <w:sz w:val="24"/>
              </w:rPr>
              <w:t>7</w:t>
            </w:r>
          </w:p>
        </w:tc>
        <w:tc>
          <w:tcPr>
            <w:tcW w:w="1840" w:type="dxa"/>
            <w:vAlign w:val="center"/>
          </w:tcPr>
          <w:p w14:paraId="328A2B5F">
            <w:pPr>
              <w:jc w:val="center"/>
              <w:rPr>
                <w:rFonts w:hint="eastAsia" w:ascii="仿宋" w:hAnsi="仿宋" w:eastAsia="仿宋"/>
                <w:sz w:val="24"/>
              </w:rPr>
            </w:pPr>
            <w:r>
              <w:rPr>
                <w:rFonts w:ascii="仿宋" w:hAnsi="仿宋" w:eastAsia="仿宋"/>
                <w:sz w:val="24"/>
              </w:rPr>
              <w:t>安全警示标识</w:t>
            </w:r>
          </w:p>
        </w:tc>
        <w:tc>
          <w:tcPr>
            <w:tcW w:w="3031" w:type="dxa"/>
            <w:vAlign w:val="center"/>
          </w:tcPr>
          <w:p w14:paraId="4FFD6F9A">
            <w:pPr>
              <w:jc w:val="center"/>
              <w:rPr>
                <w:rFonts w:hint="eastAsia" w:ascii="仿宋" w:hAnsi="仿宋" w:eastAsia="仿宋"/>
                <w:sz w:val="24"/>
              </w:rPr>
            </w:pPr>
            <w:r>
              <w:rPr>
                <w:rFonts w:ascii="仿宋" w:hAnsi="仿宋" w:eastAsia="仿宋"/>
                <w:sz w:val="24"/>
              </w:rPr>
              <w:t>危化品、高温设备、防滑警示</w:t>
            </w:r>
          </w:p>
        </w:tc>
        <w:tc>
          <w:tcPr>
            <w:tcW w:w="784" w:type="dxa"/>
            <w:vAlign w:val="center"/>
          </w:tcPr>
          <w:p w14:paraId="6270A7A4">
            <w:pPr>
              <w:jc w:val="center"/>
              <w:rPr>
                <w:rFonts w:hint="eastAsia" w:ascii="仿宋" w:hAnsi="仿宋" w:eastAsia="仿宋"/>
                <w:sz w:val="24"/>
              </w:rPr>
            </w:pPr>
            <w:r>
              <w:rPr>
                <w:rFonts w:ascii="仿宋" w:hAnsi="仿宋" w:eastAsia="仿宋"/>
                <w:sz w:val="24"/>
              </w:rPr>
              <w:t>若干</w:t>
            </w:r>
          </w:p>
        </w:tc>
        <w:tc>
          <w:tcPr>
            <w:tcW w:w="2278" w:type="dxa"/>
            <w:vAlign w:val="center"/>
          </w:tcPr>
          <w:p w14:paraId="137B5D1C">
            <w:pPr>
              <w:jc w:val="center"/>
              <w:rPr>
                <w:rFonts w:hint="eastAsia" w:ascii="仿宋" w:hAnsi="仿宋" w:eastAsia="仿宋"/>
                <w:sz w:val="24"/>
              </w:rPr>
            </w:pPr>
            <w:r>
              <w:rPr>
                <w:rFonts w:ascii="仿宋" w:hAnsi="仿宋" w:eastAsia="仿宋"/>
                <w:sz w:val="24"/>
              </w:rPr>
              <w:t>张贴于工位显眼位置</w:t>
            </w:r>
          </w:p>
        </w:tc>
      </w:tr>
    </w:tbl>
    <w:p w14:paraId="66F42281">
      <w:pPr>
        <w:ind w:firstLine="420" w:firstLineChars="200"/>
        <w:rPr>
          <w:rFonts w:hint="eastAsia" w:ascii="仿宋" w:hAnsi="仿宋" w:eastAsia="仿宋"/>
          <w:szCs w:val="21"/>
        </w:rPr>
      </w:pPr>
    </w:p>
    <w:p w14:paraId="2C3E3301">
      <w:pPr>
        <w:pStyle w:val="2"/>
        <w:adjustRightInd w:val="0"/>
        <w:snapToGrid w:val="0"/>
        <w:spacing w:beforeLines="0" w:afterLines="0" w:line="360" w:lineRule="auto"/>
        <w:rPr>
          <w:rFonts w:hint="eastAsia" w:ascii="仿宋" w:hAnsi="仿宋" w:eastAsia="仿宋"/>
          <w:sz w:val="32"/>
          <w:szCs w:val="32"/>
        </w:rPr>
      </w:pPr>
      <w:bookmarkStart w:id="49" w:name="_Toc14503"/>
      <w:bookmarkStart w:id="50" w:name="_Toc530340416"/>
      <w:r>
        <w:rPr>
          <w:rFonts w:hint="eastAsia" w:ascii="仿宋" w:hAnsi="仿宋" w:eastAsia="仿宋"/>
          <w:sz w:val="32"/>
          <w:szCs w:val="32"/>
        </w:rPr>
        <w:t>6</w:t>
      </w:r>
      <w:r>
        <w:rPr>
          <w:rFonts w:ascii="仿宋" w:hAnsi="仿宋" w:eastAsia="仿宋"/>
          <w:sz w:val="32"/>
          <w:szCs w:val="32"/>
        </w:rPr>
        <w:t>.</w:t>
      </w:r>
      <w:r>
        <w:rPr>
          <w:rFonts w:hint="eastAsia" w:ascii="仿宋" w:hAnsi="仿宋" w:eastAsia="仿宋"/>
          <w:sz w:val="32"/>
          <w:szCs w:val="32"/>
        </w:rPr>
        <w:t>赛场布局要求</w:t>
      </w:r>
      <w:bookmarkEnd w:id="46"/>
      <w:bookmarkEnd w:id="49"/>
      <w:bookmarkEnd w:id="50"/>
    </w:p>
    <w:p w14:paraId="6F3A9344">
      <w:pPr>
        <w:pStyle w:val="3"/>
        <w:adjustRightInd w:val="0"/>
        <w:snapToGrid w:val="0"/>
        <w:spacing w:line="360" w:lineRule="auto"/>
        <w:rPr>
          <w:rFonts w:hint="eastAsia" w:ascii="仿宋" w:hAnsi="仿宋" w:eastAsia="仿宋"/>
          <w:sz w:val="30"/>
          <w:szCs w:val="30"/>
        </w:rPr>
      </w:pPr>
      <w:bookmarkStart w:id="51" w:name="_Toc27801"/>
      <w:r>
        <w:rPr>
          <w:rFonts w:hint="eastAsia" w:ascii="仿宋" w:hAnsi="仿宋" w:eastAsia="仿宋"/>
          <w:sz w:val="30"/>
          <w:szCs w:val="30"/>
        </w:rPr>
        <w:t>6.1赛场规格要求</w:t>
      </w:r>
      <w:bookmarkEnd w:id="51"/>
    </w:p>
    <w:p w14:paraId="29852FDA">
      <w:pPr>
        <w:spacing w:line="360" w:lineRule="auto"/>
        <w:ind w:left="-181" w:leftChars="-86" w:firstLine="560" w:firstLineChars="200"/>
        <w:rPr>
          <w:rFonts w:hint="eastAsia" w:ascii="仿宋" w:hAnsi="仿宋" w:eastAsia="仿宋"/>
          <w:sz w:val="28"/>
          <w:szCs w:val="28"/>
        </w:rPr>
      </w:pPr>
      <w:r>
        <w:rPr>
          <w:rFonts w:hint="eastAsia" w:ascii="仿宋" w:hAnsi="仿宋" w:eastAsia="仿宋"/>
          <w:sz w:val="28"/>
          <w:szCs w:val="28"/>
        </w:rPr>
        <w:t>1.整体竞赛区域总面积根据参赛工位数量设定，单工位操作净面积≥8㎡，工位横向间距≥1.2m，纵向通道≥1.5m，避免选手操作互相干扰；</w:t>
      </w:r>
    </w:p>
    <w:p w14:paraId="2C51204E">
      <w:pPr>
        <w:spacing w:line="360" w:lineRule="auto"/>
        <w:ind w:left="-181" w:leftChars="-86" w:firstLine="560" w:firstLineChars="200"/>
        <w:rPr>
          <w:rFonts w:hint="eastAsia" w:ascii="仿宋" w:hAnsi="仿宋" w:eastAsia="仿宋"/>
          <w:sz w:val="28"/>
          <w:szCs w:val="28"/>
        </w:rPr>
      </w:pPr>
      <w:r>
        <w:rPr>
          <w:rFonts w:hint="eastAsia" w:ascii="仿宋" w:hAnsi="仿宋" w:eastAsia="仿宋"/>
          <w:sz w:val="28"/>
          <w:szCs w:val="28"/>
        </w:rPr>
        <w:t>2.区域划分：选手检录等候区、实操竞赛区、样品对样区、裁判打分区、观摩参观区、物料存储区、应急救护区；</w:t>
      </w:r>
    </w:p>
    <w:p w14:paraId="3481264D">
      <w:pPr>
        <w:spacing w:line="360" w:lineRule="auto"/>
        <w:ind w:left="-181" w:leftChars="-86" w:firstLine="560" w:firstLineChars="200"/>
        <w:rPr>
          <w:rFonts w:hint="eastAsia" w:ascii="仿宋" w:hAnsi="仿宋" w:eastAsia="仿宋"/>
          <w:sz w:val="28"/>
          <w:szCs w:val="28"/>
        </w:rPr>
      </w:pPr>
      <w:r>
        <w:rPr>
          <w:rFonts w:hint="eastAsia" w:ascii="仿宋" w:hAnsi="仿宋" w:eastAsia="仿宋"/>
          <w:sz w:val="28"/>
          <w:szCs w:val="28"/>
        </w:rPr>
        <w:t>3.人流分离：选手通道、裁判通道、观摩通道独立分开，设置单向出入口，观摩人员不得穿越竞赛工位区；</w:t>
      </w:r>
    </w:p>
    <w:p w14:paraId="382ACEBB">
      <w:pPr>
        <w:spacing w:line="360" w:lineRule="auto"/>
        <w:ind w:left="-181" w:leftChars="-86" w:firstLine="560" w:firstLineChars="200"/>
        <w:rPr>
          <w:rFonts w:hint="eastAsia" w:ascii="仿宋" w:hAnsi="仿宋" w:eastAsia="仿宋"/>
          <w:sz w:val="28"/>
          <w:szCs w:val="28"/>
        </w:rPr>
      </w:pPr>
      <w:r>
        <w:rPr>
          <w:rFonts w:hint="eastAsia" w:ascii="仿宋" w:hAnsi="仿宋" w:eastAsia="仿宋"/>
          <w:sz w:val="28"/>
          <w:szCs w:val="28"/>
        </w:rPr>
        <w:t>4.水电配套：每个工位独立供水、排水、蒸汽、供电线路，配备漏电保护、紧急断电开关。</w:t>
      </w:r>
    </w:p>
    <w:p w14:paraId="0FFC5EAD">
      <w:pPr>
        <w:pStyle w:val="3"/>
        <w:adjustRightInd w:val="0"/>
        <w:snapToGrid w:val="0"/>
        <w:spacing w:line="360" w:lineRule="auto"/>
        <w:rPr>
          <w:rFonts w:hint="eastAsia" w:ascii="仿宋" w:hAnsi="仿宋" w:eastAsia="仿宋"/>
          <w:sz w:val="30"/>
          <w:szCs w:val="30"/>
        </w:rPr>
      </w:pPr>
      <w:bookmarkStart w:id="52" w:name="_Toc6373"/>
      <w:bookmarkStart w:id="53" w:name="_Toc481314011"/>
      <w:r>
        <w:rPr>
          <w:rFonts w:hint="eastAsia" w:ascii="仿宋" w:hAnsi="仿宋" w:eastAsia="仿宋"/>
          <w:sz w:val="30"/>
          <w:szCs w:val="30"/>
        </w:rPr>
        <w:t>6.2场地布局图</w:t>
      </w:r>
      <w:bookmarkEnd w:id="52"/>
    </w:p>
    <w:p w14:paraId="186ACE8D">
      <w:pPr>
        <w:ind w:firstLine="560" w:firstLineChars="200"/>
        <w:rPr>
          <w:sz w:val="28"/>
          <w:szCs w:val="28"/>
        </w:rPr>
      </w:pPr>
      <w:r>
        <w:rPr>
          <w:rFonts w:hint="eastAsia" w:ascii="仿宋" w:hAnsi="仿宋" w:eastAsia="仿宋"/>
          <w:sz w:val="28"/>
          <w:szCs w:val="28"/>
        </w:rPr>
        <w:t>提供规格（长度、宽度）清晰的布局图。例如：</w:t>
      </w:r>
    </w:p>
    <w:p w14:paraId="538292DA">
      <w:pPr>
        <w:adjustRightInd w:val="0"/>
        <w:snapToGrid w:val="0"/>
        <w:jc w:val="center"/>
        <w:rPr>
          <w:rFonts w:hint="eastAsia" w:ascii="仿宋" w:hAnsi="仿宋" w:eastAsia="仿宋" w:cs="宋体"/>
          <w:kern w:val="0"/>
          <w:sz w:val="24"/>
          <w:lang w:eastAsia="zh-CN"/>
        </w:rPr>
      </w:pPr>
      <w:r>
        <w:rPr>
          <w:rFonts w:hint="eastAsia" w:ascii="仿宋" w:hAnsi="仿宋" w:eastAsia="仿宋" w:cs="宋体"/>
          <w:kern w:val="0"/>
          <w:sz w:val="24"/>
          <w:lang w:eastAsia="zh-CN"/>
        </w:rPr>
        <w:pict>
          <v:shape id="_x0000_i1025" o:spt="75" alt="竞赛场地平面布置图" type="#_x0000_t75" style="height:236pt;width:434.7pt;" filled="f" o:preferrelative="t" stroked="f" coordsize="21600,21600">
            <v:path/>
            <v:fill on="f" focussize="0,0"/>
            <v:stroke on="f"/>
            <v:imagedata r:id="rId9" o:title="竞赛场地平面布置图"/>
            <o:lock v:ext="edit" aspectratio="t"/>
            <w10:wrap type="none"/>
            <w10:anchorlock/>
          </v:shape>
        </w:pict>
      </w:r>
    </w:p>
    <w:p w14:paraId="14D637BB">
      <w:pPr>
        <w:adjustRightInd w:val="0"/>
        <w:snapToGrid w:val="0"/>
        <w:jc w:val="center"/>
        <w:rPr>
          <w:rFonts w:hint="eastAsia" w:ascii="仿宋" w:hAnsi="仿宋" w:eastAsia="仿宋"/>
        </w:rPr>
      </w:pPr>
      <w:r>
        <w:rPr>
          <w:rFonts w:hint="eastAsia" w:ascii="仿宋" w:hAnsi="仿宋" w:eastAsia="仿宋" w:cs="宋体"/>
          <w:kern w:val="0"/>
          <w:sz w:val="24"/>
        </w:rPr>
        <w:t>竞赛现场布局示意图</w:t>
      </w:r>
    </w:p>
    <w:p w14:paraId="031C8865">
      <w:pPr>
        <w:pStyle w:val="2"/>
        <w:adjustRightInd w:val="0"/>
        <w:snapToGrid w:val="0"/>
        <w:spacing w:beforeLines="0" w:afterLines="0" w:line="360" w:lineRule="auto"/>
        <w:rPr>
          <w:rFonts w:hint="eastAsia" w:ascii="仿宋" w:hAnsi="仿宋" w:eastAsia="仿宋"/>
          <w:sz w:val="32"/>
          <w:szCs w:val="32"/>
        </w:rPr>
      </w:pPr>
      <w:bookmarkStart w:id="54" w:name="_Toc530340417"/>
      <w:bookmarkStart w:id="55" w:name="_Toc22666"/>
      <w:r>
        <w:rPr>
          <w:rFonts w:hint="eastAsia" w:ascii="仿宋" w:hAnsi="仿宋" w:eastAsia="仿宋"/>
          <w:sz w:val="32"/>
          <w:szCs w:val="32"/>
        </w:rPr>
        <w:t>7</w:t>
      </w:r>
      <w:r>
        <w:rPr>
          <w:rFonts w:ascii="仿宋" w:hAnsi="仿宋" w:eastAsia="仿宋"/>
          <w:sz w:val="32"/>
          <w:szCs w:val="32"/>
        </w:rPr>
        <w:t>.</w:t>
      </w:r>
      <w:r>
        <w:rPr>
          <w:rFonts w:hint="eastAsia" w:ascii="仿宋" w:hAnsi="仿宋" w:eastAsia="仿宋"/>
          <w:sz w:val="32"/>
          <w:szCs w:val="32"/>
        </w:rPr>
        <w:t>健康和安全</w:t>
      </w:r>
      <w:bookmarkEnd w:id="53"/>
      <w:bookmarkEnd w:id="54"/>
      <w:bookmarkEnd w:id="55"/>
    </w:p>
    <w:p w14:paraId="3C54E2E8">
      <w:pPr>
        <w:pStyle w:val="3"/>
        <w:adjustRightInd w:val="0"/>
        <w:snapToGrid w:val="0"/>
        <w:spacing w:line="360" w:lineRule="auto"/>
        <w:rPr>
          <w:rFonts w:hint="eastAsia" w:ascii="仿宋" w:hAnsi="仿宋" w:eastAsia="仿宋"/>
          <w:sz w:val="30"/>
          <w:szCs w:val="30"/>
        </w:rPr>
      </w:pPr>
      <w:bookmarkStart w:id="56" w:name="_Toc530340418"/>
      <w:bookmarkStart w:id="57" w:name="_Toc13615"/>
      <w:bookmarkStart w:id="58" w:name="_Toc481314012"/>
      <w:r>
        <w:rPr>
          <w:rFonts w:hint="eastAsia" w:ascii="仿宋" w:hAnsi="仿宋" w:eastAsia="仿宋"/>
          <w:sz w:val="30"/>
          <w:szCs w:val="30"/>
        </w:rPr>
        <w:t>7</w:t>
      </w:r>
      <w:r>
        <w:rPr>
          <w:rFonts w:ascii="仿宋" w:hAnsi="仿宋" w:eastAsia="仿宋"/>
          <w:sz w:val="30"/>
          <w:szCs w:val="30"/>
        </w:rPr>
        <w:t>.1</w:t>
      </w:r>
      <w:r>
        <w:rPr>
          <w:rFonts w:hint="eastAsia" w:ascii="仿宋" w:hAnsi="仿宋" w:eastAsia="仿宋"/>
          <w:sz w:val="30"/>
          <w:szCs w:val="30"/>
        </w:rPr>
        <w:t>选手安全防护要求</w:t>
      </w:r>
      <w:bookmarkEnd w:id="56"/>
      <w:r>
        <w:rPr>
          <w:rFonts w:hint="eastAsia" w:ascii="仿宋" w:hAnsi="仿宋" w:eastAsia="仿宋"/>
          <w:sz w:val="30"/>
          <w:szCs w:val="30"/>
        </w:rPr>
        <w:t>—</w:t>
      </w:r>
      <w:bookmarkEnd w:id="57"/>
    </w:p>
    <w:p w14:paraId="16B8ADB7">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（1）全程统一穿戴赛场配发工装，袖口收紧，禁止穿拖鞋、凉鞋入场；长发必须佩戴头帽收拢；</w:t>
      </w:r>
    </w:p>
    <w:p w14:paraId="58E2A9E4">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（2）配制强酸、强碱、粉状酶制剂时，必须同步佩戴护目镜、防尘口罩、耐酸碱手套，禁止徒手直接接触危化助剂；</w:t>
      </w:r>
    </w:p>
    <w:p w14:paraId="279E6420">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（3）洗脱机、烘干机运行过程中，禁止打开舱门伸手入内；脱水机完全停止转动后方可取放服装；</w:t>
      </w:r>
    </w:p>
    <w:p w14:paraId="22E1A080">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（4）设备升温、蒸汽管路操作时，避免肢体直接接触高温金属表面，防止烫伤；</w:t>
      </w:r>
    </w:p>
    <w:p w14:paraId="5B0DA010">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（5）竞赛结束离开工位前，关停所有设备电源、蒸汽阀门、供水开关；</w:t>
      </w:r>
    </w:p>
    <w:p w14:paraId="203F1251">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（6）工位保持整洁，化料容器加盖密封，散落助剂立即清理，防止地面打滑、化学品腐蚀；</w:t>
      </w:r>
    </w:p>
    <w:p w14:paraId="0FBBB804">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（7）如发生化学品溅洒、灼伤，第一时间举手告知裁判，使用工位洗眼器、应急中和药剂处置，严重情况由工作人员送医；</w:t>
      </w:r>
    </w:p>
    <w:p w14:paraId="50CDBBC2">
      <w:pPr>
        <w:adjustRightInd w:val="0"/>
        <w:snapToGrid w:val="0"/>
        <w:spacing w:after="240" w:line="360" w:lineRule="auto"/>
        <w:ind w:firstLine="560" w:firstLineChars="200"/>
        <w:rPr>
          <w:rFonts w:hint="eastAsia" w:ascii="仿宋" w:hAnsi="仿宋" w:eastAsia="仿宋"/>
          <w:sz w:val="28"/>
          <w:szCs w:val="28"/>
        </w:rPr>
      </w:pPr>
      <w:r>
        <w:rPr>
          <w:rFonts w:hint="eastAsia" w:ascii="仿宋" w:hAnsi="仿宋" w:eastAsia="仿宋"/>
          <w:sz w:val="28"/>
          <w:szCs w:val="28"/>
        </w:rPr>
        <w:t>8.禁止私改设备电路、蒸汽压力、温控参数，违规操作造成安全隐患直接取消竞赛资格。</w:t>
      </w:r>
    </w:p>
    <w:p w14:paraId="357EA64C">
      <w:pPr>
        <w:pStyle w:val="3"/>
        <w:adjustRightInd w:val="0"/>
        <w:snapToGrid w:val="0"/>
        <w:spacing w:line="360" w:lineRule="auto"/>
        <w:rPr>
          <w:rFonts w:hint="eastAsia" w:ascii="仿宋" w:hAnsi="仿宋" w:eastAsia="仿宋"/>
          <w:sz w:val="30"/>
          <w:szCs w:val="30"/>
        </w:rPr>
      </w:pPr>
      <w:bookmarkStart w:id="59" w:name="_Toc530340419"/>
      <w:bookmarkStart w:id="60" w:name="_Toc20718"/>
      <w:r>
        <w:rPr>
          <w:rFonts w:hint="eastAsia" w:ascii="仿宋" w:hAnsi="仿宋" w:eastAsia="仿宋"/>
          <w:sz w:val="30"/>
          <w:szCs w:val="30"/>
        </w:rPr>
        <w:t>7</w:t>
      </w:r>
      <w:r>
        <w:rPr>
          <w:rFonts w:ascii="仿宋" w:hAnsi="仿宋" w:eastAsia="仿宋"/>
          <w:sz w:val="30"/>
          <w:szCs w:val="30"/>
        </w:rPr>
        <w:t>.2安全健康</w:t>
      </w:r>
      <w:r>
        <w:rPr>
          <w:rFonts w:hint="eastAsia" w:ascii="仿宋" w:hAnsi="仿宋" w:eastAsia="仿宋"/>
          <w:sz w:val="30"/>
          <w:szCs w:val="30"/>
        </w:rPr>
        <w:t>要求</w:t>
      </w:r>
      <w:bookmarkEnd w:id="59"/>
      <w:r>
        <w:rPr>
          <w:rFonts w:hint="eastAsia" w:ascii="仿宋" w:hAnsi="仿宋" w:eastAsia="仿宋"/>
          <w:sz w:val="30"/>
          <w:szCs w:val="30"/>
        </w:rPr>
        <w:t>—</w:t>
      </w:r>
      <w:bookmarkEnd w:id="60"/>
    </w:p>
    <w:p w14:paraId="4B320507">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（1）赛场严格执行《GB/T28001职业健康安全管理体系》《危险化学品安全管理条例》，车间张贴全套安全操作规程、应急处置流程图；</w:t>
      </w:r>
    </w:p>
    <w:p w14:paraId="0823AADC">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（2）所有参赛选手、裁判、工作人员赛前统一安全培训，熟悉火灾、化学品伤害、设备卡机应急处置流程；</w:t>
      </w:r>
    </w:p>
    <w:p w14:paraId="0D276BED">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（3）危化助剂分区密封存放，设置防渗围堤，标识清晰；氧化剂、酸碱助剂分开存储，禁止混放；</w:t>
      </w:r>
    </w:p>
    <w:p w14:paraId="15B37137">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（4）赛场保持通风换气，控制粉尘、挥发性化学品浓度，定时检测车间空气质量；</w:t>
      </w:r>
    </w:p>
    <w:p w14:paraId="0BCF48CF">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（5）消防器材（干粉灭火器、消防沙）均匀布置于赛场各区域，每月完成检修，所有人知晓摆放位置与使用方法；</w:t>
      </w:r>
    </w:p>
    <w:p w14:paraId="4E457AA6">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（6）废水、废弃助剂、废旧浮石分类收集，按环保要求预处理，禁止直接随意排放丢弃；</w:t>
      </w:r>
    </w:p>
    <w:p w14:paraId="0E343FEA">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（7）违反安全操作规范，裁判有权当场中止该选手操作，视情节扣分或取消成绩。</w:t>
      </w:r>
    </w:p>
    <w:p w14:paraId="1E14EA05">
      <w:pPr>
        <w:pStyle w:val="2"/>
        <w:adjustRightInd w:val="0"/>
        <w:snapToGrid w:val="0"/>
        <w:spacing w:beforeLines="0" w:afterLines="0" w:line="360" w:lineRule="auto"/>
        <w:rPr>
          <w:rFonts w:hint="eastAsia" w:ascii="仿宋" w:hAnsi="仿宋" w:eastAsia="仿宋"/>
          <w:sz w:val="32"/>
          <w:szCs w:val="32"/>
        </w:rPr>
      </w:pPr>
      <w:bookmarkStart w:id="61" w:name="_Toc530340420"/>
      <w:bookmarkStart w:id="62" w:name="_Toc7003"/>
      <w:r>
        <w:rPr>
          <w:rFonts w:hint="eastAsia" w:ascii="仿宋" w:hAnsi="仿宋" w:eastAsia="仿宋"/>
          <w:sz w:val="32"/>
          <w:szCs w:val="32"/>
        </w:rPr>
        <w:t>8</w:t>
      </w:r>
      <w:r>
        <w:rPr>
          <w:rFonts w:ascii="仿宋" w:hAnsi="仿宋" w:eastAsia="仿宋"/>
          <w:sz w:val="32"/>
          <w:szCs w:val="32"/>
        </w:rPr>
        <w:t>.</w:t>
      </w:r>
      <w:bookmarkEnd w:id="58"/>
      <w:bookmarkEnd w:id="61"/>
      <w:r>
        <w:rPr>
          <w:rFonts w:hint="eastAsia" w:ascii="仿宋" w:hAnsi="仿宋" w:eastAsia="仿宋"/>
          <w:sz w:val="32"/>
          <w:szCs w:val="32"/>
        </w:rPr>
        <w:t>竞赛规则</w:t>
      </w:r>
      <w:bookmarkEnd w:id="62"/>
    </w:p>
    <w:p w14:paraId="71CABC1F">
      <w:pPr>
        <w:pStyle w:val="3"/>
        <w:adjustRightInd w:val="0"/>
        <w:snapToGrid w:val="0"/>
        <w:spacing w:line="360" w:lineRule="auto"/>
        <w:rPr>
          <w:rFonts w:hint="eastAsia" w:ascii="仿宋" w:hAnsi="仿宋" w:eastAsia="仿宋"/>
          <w:sz w:val="30"/>
          <w:szCs w:val="30"/>
        </w:rPr>
      </w:pPr>
      <w:bookmarkStart w:id="63" w:name="_Toc2823"/>
      <w:r>
        <w:rPr>
          <w:rFonts w:hint="eastAsia" w:ascii="仿宋" w:hAnsi="仿宋" w:eastAsia="仿宋"/>
          <w:sz w:val="30"/>
          <w:szCs w:val="30"/>
        </w:rPr>
        <w:t>8.1领队须知</w:t>
      </w:r>
      <w:bookmarkEnd w:id="63"/>
    </w:p>
    <w:p w14:paraId="5AD8C579">
      <w:pPr>
        <w:adjustRightInd w:val="0"/>
        <w:snapToGrid w:val="0"/>
        <w:spacing w:line="360" w:lineRule="auto"/>
        <w:ind w:firstLine="560" w:firstLineChars="200"/>
        <w:rPr>
          <w:rFonts w:hint="eastAsia" w:ascii="仿宋" w:hAnsi="仿宋" w:eastAsia="仿宋"/>
          <w:sz w:val="28"/>
          <w:szCs w:val="28"/>
        </w:rPr>
      </w:pPr>
      <w:bookmarkStart w:id="64" w:name="_Toc530340422"/>
      <w:r>
        <w:rPr>
          <w:rFonts w:hint="eastAsia" w:ascii="仿宋" w:hAnsi="仿宋" w:eastAsia="仿宋"/>
          <w:sz w:val="28"/>
          <w:szCs w:val="28"/>
        </w:rPr>
        <w:t>（1）各参赛单位领队全权负责本队选手组织、签到、沟通、突发情况协调，全程服从赛项执委会统一安排；</w:t>
      </w:r>
    </w:p>
    <w:p w14:paraId="4392FA9C">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（2）赛事全程领队手机保持畅通，选手出现身体不适、赛场争议、设备故障时，执委会第一时间联系领队；</w:t>
      </w:r>
    </w:p>
    <w:p w14:paraId="208B37BD">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（3）竞赛期间领队禁止进入实操竞赛区域，不得与裁判私下沟通评分、试题相关内容，严禁以任何方式干预裁判员公正评判；</w:t>
      </w:r>
    </w:p>
    <w:p w14:paraId="1BA5749F">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（4）领队负责本单位选手人身、物品安全，赛前对选手开展赛场纪律、安全操作培训；</w:t>
      </w:r>
    </w:p>
    <w:p w14:paraId="046FB944">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（5）对裁判现场处置、成绩存在异议，必须在总成绩公示前，由领队提交署名书面申诉材料并附带佐证，口头申诉不予受理；</w:t>
      </w:r>
    </w:p>
    <w:p w14:paraId="58A607B4">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（6）领队不得教唆选手作弊、违规，一经查实，限制本单位下一届大赛参赛名额。</w:t>
      </w:r>
    </w:p>
    <w:p w14:paraId="0EBAF10D">
      <w:pPr>
        <w:pStyle w:val="3"/>
        <w:adjustRightInd w:val="0"/>
        <w:snapToGrid w:val="0"/>
        <w:spacing w:line="360" w:lineRule="auto"/>
        <w:rPr>
          <w:rFonts w:hint="eastAsia" w:ascii="仿宋" w:hAnsi="仿宋" w:eastAsia="仿宋"/>
          <w:sz w:val="30"/>
          <w:szCs w:val="30"/>
        </w:rPr>
      </w:pPr>
      <w:bookmarkStart w:id="65" w:name="_Toc5976"/>
      <w:r>
        <w:rPr>
          <w:rFonts w:hint="eastAsia" w:ascii="仿宋" w:hAnsi="仿宋" w:eastAsia="仿宋"/>
          <w:sz w:val="30"/>
          <w:szCs w:val="30"/>
        </w:rPr>
        <w:t>8.2</w:t>
      </w:r>
      <w:bookmarkEnd w:id="64"/>
      <w:r>
        <w:rPr>
          <w:rFonts w:hint="eastAsia" w:ascii="仿宋" w:hAnsi="仿宋" w:eastAsia="仿宋"/>
          <w:sz w:val="30"/>
          <w:szCs w:val="30"/>
        </w:rPr>
        <w:t>选手须知</w:t>
      </w:r>
      <w:bookmarkEnd w:id="65"/>
    </w:p>
    <w:p w14:paraId="007FE384">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（1）必须携带本人有效身份证、大赛统一发放选手证，两证齐全方可检录入场，缺少任一证件禁止参赛；</w:t>
      </w:r>
    </w:p>
    <w:p w14:paraId="0857F5A9">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（2）按赛程提前30分钟抵达检录区；迟到15分钟及以上，直接取消本场竞赛资格；竞赛结束后不得在赛场周边聚集讨论试题、逗留围观；</w:t>
      </w:r>
    </w:p>
    <w:p w14:paraId="06177C2B">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（3）仅允许使用赛场统一配发设备、化料、工具，禁止携带私有助剂、样衣、手机、存储设备入场；</w:t>
      </w:r>
    </w:p>
    <w:p w14:paraId="588FB056">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（4）比赛中不得擅自离开工位；有问题举手示意裁判；选手之间互相询问工艺、传递物料、偷看操作均按作弊处理；</w:t>
      </w:r>
    </w:p>
    <w:p w14:paraId="7FD36B37">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（5）严格按照试题工艺、安全规程操作，禁止恶意损坏设备、浪费化料、丢弃竞赛样衣；</w:t>
      </w:r>
    </w:p>
    <w:p w14:paraId="2B320FEA">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（6）成绩初步公示后，选手仅可通过领队提交申诉，选手本人不得直接纠缠裁判、统分人员；</w:t>
      </w:r>
    </w:p>
    <w:p w14:paraId="6AFE820E">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（7）文明参赛，服从裁判管理，不得与裁判、工作人员发生争执，扰乱赛场秩序直接取消竞赛成绩。</w:t>
      </w:r>
    </w:p>
    <w:p w14:paraId="541B6E72">
      <w:pPr>
        <w:pStyle w:val="3"/>
        <w:adjustRightInd w:val="0"/>
        <w:snapToGrid w:val="0"/>
        <w:spacing w:line="360" w:lineRule="auto"/>
        <w:rPr>
          <w:rFonts w:hint="eastAsia" w:ascii="仿宋" w:hAnsi="仿宋" w:eastAsia="仿宋"/>
          <w:sz w:val="30"/>
          <w:szCs w:val="30"/>
        </w:rPr>
      </w:pPr>
      <w:bookmarkStart w:id="66" w:name="_Toc18394"/>
      <w:r>
        <w:rPr>
          <w:rFonts w:hint="eastAsia" w:ascii="仿宋" w:hAnsi="仿宋" w:eastAsia="仿宋"/>
          <w:sz w:val="30"/>
          <w:szCs w:val="30"/>
        </w:rPr>
        <w:t>8.3裁判员须知</w:t>
      </w:r>
      <w:bookmarkEnd w:id="66"/>
    </w:p>
    <w:p w14:paraId="6A664242">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（1）</w:t>
      </w:r>
      <w:r>
        <w:rPr>
          <w:rFonts w:ascii="仿宋" w:hAnsi="仿宋" w:eastAsia="仿宋"/>
          <w:sz w:val="28"/>
          <w:szCs w:val="28"/>
        </w:rPr>
        <w:t>在赛前赛项执委会组织全体裁判员（裁判长）集中培训，了解赛场情况、竞赛规则和注意事项。</w:t>
      </w:r>
    </w:p>
    <w:p w14:paraId="5EC6798D">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（2）</w:t>
      </w:r>
      <w:r>
        <w:rPr>
          <w:rFonts w:ascii="仿宋" w:hAnsi="仿宋" w:eastAsia="仿宋"/>
          <w:sz w:val="28"/>
          <w:szCs w:val="28"/>
        </w:rPr>
        <w:t>裁判员按裁判长安排工作，裁判员须严格遵守竞赛规则，明确责任和分工，服从裁判组长的领导，熟悉竞赛的各项评价内容和评分要求，做到评判公正，语言举止文明。在执裁过程中须佩戴好裁判证，不得向他人泄露与竞赛有关的信息。对在竞赛执裁过程中出现徇私舞弊的情况，一经查实，裁判长有权取消其执裁资格，并报执委会备案。</w:t>
      </w:r>
    </w:p>
    <w:p w14:paraId="3434C256">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（3）</w:t>
      </w:r>
      <w:r>
        <w:rPr>
          <w:rFonts w:ascii="仿宋" w:hAnsi="仿宋" w:eastAsia="仿宋"/>
          <w:sz w:val="28"/>
          <w:szCs w:val="28"/>
        </w:rPr>
        <w:t>对竞赛过程中出现的问题或争议，裁判员应及时向裁判长汇报，服从裁判长的裁决，避免与参赛选手和相关人员发生争执。</w:t>
      </w:r>
    </w:p>
    <w:p w14:paraId="280E78E2">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（4）大赛组委会</w:t>
      </w:r>
      <w:r>
        <w:rPr>
          <w:rFonts w:ascii="仿宋" w:hAnsi="仿宋" w:eastAsia="仿宋"/>
          <w:sz w:val="28"/>
          <w:szCs w:val="28"/>
        </w:rPr>
        <w:t>未正式公布成绩和名次前，裁判员必须对选手的竞赛成绩严格保密，不得私自与参赛选手或参赛领队联系。</w:t>
      </w:r>
    </w:p>
    <w:p w14:paraId="21641409">
      <w:pPr>
        <w:pStyle w:val="3"/>
        <w:adjustRightInd w:val="0"/>
        <w:snapToGrid w:val="0"/>
        <w:spacing w:line="360" w:lineRule="auto"/>
        <w:rPr>
          <w:rFonts w:hint="eastAsia" w:ascii="仿宋" w:hAnsi="仿宋" w:eastAsia="仿宋"/>
          <w:sz w:val="30"/>
          <w:szCs w:val="30"/>
        </w:rPr>
      </w:pPr>
      <w:bookmarkStart w:id="67" w:name="_Toc16289"/>
      <w:r>
        <w:rPr>
          <w:rFonts w:hint="eastAsia" w:ascii="仿宋" w:hAnsi="仿宋" w:eastAsia="仿宋"/>
          <w:sz w:val="30"/>
          <w:szCs w:val="30"/>
        </w:rPr>
        <w:t>8.4赛场规则</w:t>
      </w:r>
      <w:bookmarkEnd w:id="67"/>
    </w:p>
    <w:p w14:paraId="6FBA3443">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（1）</w:t>
      </w:r>
      <w:r>
        <w:rPr>
          <w:rFonts w:ascii="仿宋" w:hAnsi="仿宋" w:eastAsia="仿宋"/>
          <w:sz w:val="28"/>
          <w:szCs w:val="28"/>
        </w:rPr>
        <w:t>各类赛务人员必须统一佩戴由大赛执委会签发的相关证件，着装整齐。</w:t>
      </w:r>
    </w:p>
    <w:p w14:paraId="6D30C4C8">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（2）</w:t>
      </w:r>
      <w:r>
        <w:rPr>
          <w:rFonts w:ascii="仿宋" w:hAnsi="仿宋" w:eastAsia="仿宋"/>
          <w:sz w:val="28"/>
          <w:szCs w:val="28"/>
        </w:rPr>
        <w:t>各赛场除现场裁判、安全巡视和赛场配备的工作人员以外，</w:t>
      </w:r>
      <w:r>
        <w:rPr>
          <w:rFonts w:hint="eastAsia" w:ascii="仿宋" w:hAnsi="仿宋" w:eastAsia="仿宋"/>
          <w:sz w:val="28"/>
          <w:szCs w:val="28"/>
        </w:rPr>
        <w:t>场外观摩人员及</w:t>
      </w:r>
      <w:r>
        <w:rPr>
          <w:rFonts w:ascii="仿宋" w:hAnsi="仿宋" w:eastAsia="仿宋"/>
          <w:sz w:val="28"/>
          <w:szCs w:val="28"/>
        </w:rPr>
        <w:t>其他人员未经允许不得进入赛场。在赛场内</w:t>
      </w:r>
      <w:r>
        <w:rPr>
          <w:rFonts w:hint="eastAsia" w:ascii="仿宋" w:hAnsi="仿宋" w:eastAsia="仿宋"/>
          <w:sz w:val="28"/>
          <w:szCs w:val="28"/>
        </w:rPr>
        <w:t>外</w:t>
      </w:r>
      <w:r>
        <w:rPr>
          <w:rFonts w:ascii="仿宋" w:hAnsi="仿宋" w:eastAsia="仿宋"/>
          <w:sz w:val="28"/>
          <w:szCs w:val="28"/>
        </w:rPr>
        <w:t>所有人员须将手机调为静音状态或关机</w:t>
      </w:r>
      <w:r>
        <w:rPr>
          <w:rFonts w:hint="eastAsia" w:ascii="仿宋" w:hAnsi="仿宋" w:eastAsia="仿宋"/>
          <w:sz w:val="28"/>
          <w:szCs w:val="28"/>
        </w:rPr>
        <w:t>。</w:t>
      </w:r>
    </w:p>
    <w:p w14:paraId="54310E85">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（3）</w:t>
      </w:r>
      <w:r>
        <w:rPr>
          <w:rFonts w:ascii="仿宋" w:hAnsi="仿宋" w:eastAsia="仿宋"/>
          <w:sz w:val="28"/>
          <w:szCs w:val="28"/>
        </w:rPr>
        <w:t>新闻媒体等进入赛场必须经过</w:t>
      </w:r>
      <w:r>
        <w:rPr>
          <w:rFonts w:hint="eastAsia" w:ascii="仿宋" w:hAnsi="仿宋" w:eastAsia="仿宋"/>
          <w:sz w:val="28"/>
          <w:szCs w:val="28"/>
        </w:rPr>
        <w:t>项目</w:t>
      </w:r>
      <w:r>
        <w:rPr>
          <w:rFonts w:ascii="仿宋" w:hAnsi="仿宋" w:eastAsia="仿宋"/>
          <w:sz w:val="28"/>
          <w:szCs w:val="28"/>
        </w:rPr>
        <w:t>执委会允许，并且听从现场工作人员的安排和管理。进入赛场人员未经许可不得携带三脚架、反光板等摄影设备入场</w:t>
      </w:r>
      <w:r>
        <w:rPr>
          <w:rFonts w:hint="eastAsia" w:ascii="仿宋" w:hAnsi="仿宋" w:eastAsia="仿宋"/>
          <w:sz w:val="28"/>
          <w:szCs w:val="28"/>
        </w:rPr>
        <w:t>。任何人员（含场外观摩人员）</w:t>
      </w:r>
      <w:r>
        <w:rPr>
          <w:rFonts w:ascii="仿宋" w:hAnsi="仿宋" w:eastAsia="仿宋"/>
          <w:sz w:val="28"/>
          <w:szCs w:val="28"/>
        </w:rPr>
        <w:t>未经许可不得</w:t>
      </w:r>
      <w:r>
        <w:rPr>
          <w:rFonts w:hint="eastAsia" w:ascii="仿宋" w:hAnsi="仿宋" w:eastAsia="仿宋"/>
          <w:sz w:val="28"/>
          <w:szCs w:val="28"/>
        </w:rPr>
        <w:t>采用任何设备进行</w:t>
      </w:r>
      <w:r>
        <w:rPr>
          <w:rFonts w:ascii="仿宋" w:hAnsi="仿宋" w:eastAsia="仿宋"/>
          <w:sz w:val="28"/>
          <w:szCs w:val="28"/>
        </w:rPr>
        <w:t>录像，禁止使用闪光灯</w:t>
      </w:r>
      <w:r>
        <w:rPr>
          <w:rFonts w:hint="eastAsia" w:ascii="仿宋" w:hAnsi="仿宋" w:eastAsia="仿宋"/>
          <w:sz w:val="28"/>
          <w:szCs w:val="28"/>
        </w:rPr>
        <w:t>照相</w:t>
      </w:r>
      <w:r>
        <w:rPr>
          <w:rFonts w:ascii="仿宋" w:hAnsi="仿宋" w:eastAsia="仿宋"/>
          <w:sz w:val="28"/>
          <w:szCs w:val="28"/>
        </w:rPr>
        <w:t>。</w:t>
      </w:r>
      <w:r>
        <w:rPr>
          <w:rFonts w:hint="eastAsia" w:ascii="仿宋" w:hAnsi="仿宋" w:eastAsia="仿宋"/>
          <w:sz w:val="28"/>
          <w:szCs w:val="28"/>
        </w:rPr>
        <w:t>当观摩人员的行为</w:t>
      </w:r>
      <w:r>
        <w:rPr>
          <w:rFonts w:ascii="仿宋" w:hAnsi="仿宋" w:eastAsia="仿宋"/>
          <w:sz w:val="28"/>
          <w:szCs w:val="28"/>
        </w:rPr>
        <w:t>影响比赛</w:t>
      </w:r>
      <w:r>
        <w:rPr>
          <w:rFonts w:hint="eastAsia" w:ascii="仿宋" w:hAnsi="仿宋" w:eastAsia="仿宋"/>
          <w:sz w:val="28"/>
          <w:szCs w:val="28"/>
        </w:rPr>
        <w:t>正常进行时，工作人员有权制止。</w:t>
      </w:r>
    </w:p>
    <w:p w14:paraId="55F56DC6">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（4）</w:t>
      </w:r>
      <w:r>
        <w:rPr>
          <w:rFonts w:ascii="仿宋" w:hAnsi="仿宋" w:eastAsia="仿宋"/>
          <w:sz w:val="28"/>
          <w:szCs w:val="28"/>
        </w:rPr>
        <w:t>各参赛选手的陪同人员不得进入赛场</w:t>
      </w:r>
      <w:r>
        <w:rPr>
          <w:rFonts w:hint="eastAsia" w:ascii="仿宋" w:hAnsi="仿宋" w:eastAsia="仿宋"/>
          <w:sz w:val="28"/>
          <w:szCs w:val="28"/>
        </w:rPr>
        <w:t>，并严禁打断选手或裁判正常进行比赛或执裁</w:t>
      </w:r>
      <w:r>
        <w:rPr>
          <w:rFonts w:ascii="仿宋" w:hAnsi="仿宋" w:eastAsia="仿宋"/>
          <w:sz w:val="28"/>
          <w:szCs w:val="28"/>
        </w:rPr>
        <w:t>。</w:t>
      </w:r>
    </w:p>
    <w:p w14:paraId="604049BA">
      <w:pPr>
        <w:pStyle w:val="2"/>
        <w:adjustRightInd w:val="0"/>
        <w:snapToGrid w:val="0"/>
        <w:spacing w:beforeLines="0" w:afterLines="0" w:line="360" w:lineRule="auto"/>
        <w:rPr>
          <w:rFonts w:hint="eastAsia" w:ascii="仿宋" w:hAnsi="仿宋" w:eastAsia="仿宋"/>
          <w:sz w:val="32"/>
          <w:szCs w:val="32"/>
        </w:rPr>
      </w:pPr>
      <w:bookmarkStart w:id="68" w:name="_Toc24407"/>
      <w:r>
        <w:rPr>
          <w:rFonts w:hint="eastAsia" w:ascii="仿宋" w:hAnsi="仿宋" w:eastAsia="仿宋"/>
          <w:sz w:val="32"/>
          <w:szCs w:val="32"/>
        </w:rPr>
        <w:t>9</w:t>
      </w:r>
      <w:r>
        <w:rPr>
          <w:rFonts w:ascii="仿宋" w:hAnsi="仿宋" w:eastAsia="仿宋"/>
          <w:sz w:val="32"/>
          <w:szCs w:val="32"/>
        </w:rPr>
        <w:t>违规处理</w:t>
      </w:r>
      <w:bookmarkEnd w:id="68"/>
    </w:p>
    <w:p w14:paraId="3EB94017">
      <w:pPr>
        <w:adjustRightInd w:val="0"/>
        <w:snapToGrid w:val="0"/>
        <w:spacing w:line="360" w:lineRule="auto"/>
        <w:outlineLvl w:val="0"/>
        <w:rPr>
          <w:rFonts w:hint="eastAsia" w:ascii="仿宋" w:hAnsi="仿宋" w:eastAsia="仿宋"/>
          <w:b/>
          <w:bCs/>
          <w:kern w:val="0"/>
          <w:sz w:val="32"/>
          <w:szCs w:val="32"/>
        </w:rPr>
      </w:pPr>
      <w:bookmarkStart w:id="69" w:name="_Toc16961"/>
      <w:r>
        <w:rPr>
          <w:rFonts w:hint="eastAsia" w:ascii="仿宋" w:hAnsi="仿宋" w:eastAsia="仿宋"/>
          <w:b/>
          <w:bCs/>
          <w:kern w:val="0"/>
          <w:sz w:val="30"/>
          <w:szCs w:val="30"/>
        </w:rPr>
        <w:t>9.1</w:t>
      </w:r>
      <w:r>
        <w:rPr>
          <w:rFonts w:ascii="仿宋" w:hAnsi="仿宋" w:eastAsia="仿宋"/>
          <w:b/>
          <w:bCs/>
          <w:kern w:val="0"/>
          <w:sz w:val="30"/>
          <w:szCs w:val="30"/>
        </w:rPr>
        <w:t>违规处理范围</w:t>
      </w:r>
      <w:bookmarkEnd w:id="69"/>
    </w:p>
    <w:p w14:paraId="1EA43E6C">
      <w:pPr>
        <w:adjustRightInd w:val="0"/>
        <w:snapToGrid w:val="0"/>
        <w:spacing w:line="360" w:lineRule="auto"/>
        <w:ind w:firstLine="560" w:firstLineChars="200"/>
        <w:rPr>
          <w:rFonts w:hint="eastAsia" w:ascii="仿宋" w:hAnsi="仿宋" w:eastAsia="仿宋"/>
          <w:sz w:val="28"/>
          <w:szCs w:val="28"/>
        </w:rPr>
      </w:pPr>
      <w:r>
        <w:rPr>
          <w:rFonts w:ascii="仿宋" w:hAnsi="仿宋" w:eastAsia="仿宋"/>
          <w:sz w:val="28"/>
          <w:szCs w:val="28"/>
        </w:rPr>
        <w:t>大赛期间，参赛选手、裁判人员、场地经理及助理、技术及赛务保障人员、领队及助理等，出现违反本项目技术工作文件公布的竞赛纪律或其他有碍竞赛公平公正的行为，由相应人员或机构及时纠正并处理。</w:t>
      </w:r>
    </w:p>
    <w:p w14:paraId="51D1D0BB">
      <w:pPr>
        <w:adjustRightInd w:val="0"/>
        <w:snapToGrid w:val="0"/>
        <w:spacing w:line="360" w:lineRule="auto"/>
        <w:outlineLvl w:val="0"/>
        <w:rPr>
          <w:rFonts w:hint="eastAsia" w:ascii="仿宋" w:hAnsi="仿宋" w:eastAsia="仿宋"/>
          <w:b/>
          <w:bCs/>
          <w:kern w:val="0"/>
          <w:sz w:val="30"/>
          <w:szCs w:val="30"/>
        </w:rPr>
      </w:pPr>
      <w:bookmarkStart w:id="70" w:name="_Toc3536"/>
      <w:r>
        <w:rPr>
          <w:rFonts w:hint="eastAsia" w:ascii="仿宋" w:hAnsi="仿宋" w:eastAsia="仿宋"/>
          <w:b/>
          <w:bCs/>
          <w:kern w:val="0"/>
          <w:sz w:val="30"/>
          <w:szCs w:val="30"/>
        </w:rPr>
        <w:t>9.2</w:t>
      </w:r>
      <w:r>
        <w:rPr>
          <w:rFonts w:ascii="仿宋" w:hAnsi="仿宋" w:eastAsia="仿宋"/>
          <w:b/>
          <w:bCs/>
          <w:kern w:val="0"/>
          <w:sz w:val="30"/>
          <w:szCs w:val="30"/>
        </w:rPr>
        <w:t>违规处理实施</w:t>
      </w:r>
      <w:bookmarkEnd w:id="70"/>
    </w:p>
    <w:p w14:paraId="6A414AA6">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（1）</w:t>
      </w:r>
      <w:r>
        <w:rPr>
          <w:rFonts w:ascii="仿宋" w:hAnsi="仿宋" w:eastAsia="仿宋"/>
          <w:sz w:val="28"/>
          <w:szCs w:val="28"/>
        </w:rPr>
        <w:t>参赛选手在大赛期间的违规行为，由裁判长依据相关规定处理或组织裁判员研究后处理，并将处理结果报组委会监督仲裁组。</w:t>
      </w:r>
    </w:p>
    <w:p w14:paraId="29C5F326">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（2）</w:t>
      </w:r>
      <w:r>
        <w:rPr>
          <w:rFonts w:ascii="仿宋" w:hAnsi="仿宋" w:eastAsia="仿宋"/>
          <w:sz w:val="28"/>
          <w:szCs w:val="28"/>
        </w:rPr>
        <w:t>其他人员（包括裁判人员、场地经理及助理、技术及赛务保障人员、领队及助理等）在大赛期间的违规行为，由</w:t>
      </w:r>
      <w:r>
        <w:rPr>
          <w:rFonts w:hint="eastAsia" w:ascii="仿宋" w:hAnsi="仿宋" w:eastAsia="仿宋"/>
          <w:sz w:val="28"/>
          <w:szCs w:val="28"/>
        </w:rPr>
        <w:t>项目实施保障单位</w:t>
      </w:r>
      <w:r>
        <w:rPr>
          <w:rFonts w:ascii="仿宋" w:hAnsi="仿宋" w:eastAsia="仿宋"/>
          <w:sz w:val="28"/>
          <w:szCs w:val="28"/>
        </w:rPr>
        <w:t>配合组委会监督仲裁组处理。</w:t>
      </w:r>
    </w:p>
    <w:p w14:paraId="701B3E8C">
      <w:pPr>
        <w:adjustRightInd w:val="0"/>
        <w:snapToGrid w:val="0"/>
        <w:spacing w:line="360" w:lineRule="auto"/>
        <w:outlineLvl w:val="0"/>
        <w:rPr>
          <w:rFonts w:hint="eastAsia" w:ascii="仿宋" w:hAnsi="仿宋" w:eastAsia="仿宋"/>
          <w:b/>
          <w:bCs/>
          <w:kern w:val="0"/>
          <w:sz w:val="30"/>
          <w:szCs w:val="30"/>
        </w:rPr>
      </w:pPr>
      <w:bookmarkStart w:id="71" w:name="_Toc24303"/>
      <w:r>
        <w:rPr>
          <w:rFonts w:hint="eastAsia" w:ascii="仿宋" w:hAnsi="仿宋" w:eastAsia="仿宋"/>
          <w:b/>
          <w:bCs/>
          <w:kern w:val="0"/>
          <w:sz w:val="30"/>
          <w:szCs w:val="30"/>
        </w:rPr>
        <w:t>9.3</w:t>
      </w:r>
      <w:r>
        <w:rPr>
          <w:rFonts w:ascii="仿宋" w:hAnsi="仿宋" w:eastAsia="仿宋"/>
          <w:b/>
          <w:bCs/>
          <w:kern w:val="0"/>
          <w:sz w:val="30"/>
          <w:szCs w:val="30"/>
        </w:rPr>
        <w:t>违规处理结果</w:t>
      </w:r>
      <w:bookmarkEnd w:id="71"/>
    </w:p>
    <w:p w14:paraId="3EB2890E">
      <w:pPr>
        <w:adjustRightInd w:val="0"/>
        <w:snapToGrid w:val="0"/>
        <w:spacing w:line="360" w:lineRule="auto"/>
        <w:ind w:firstLine="560" w:firstLineChars="200"/>
        <w:rPr>
          <w:rFonts w:hint="eastAsia" w:ascii="仿宋" w:hAnsi="仿宋" w:eastAsia="仿宋"/>
          <w:sz w:val="28"/>
          <w:szCs w:val="28"/>
        </w:rPr>
      </w:pPr>
      <w:r>
        <w:rPr>
          <w:rFonts w:ascii="仿宋" w:hAnsi="仿宋" w:eastAsia="仿宋"/>
          <w:sz w:val="28"/>
          <w:szCs w:val="28"/>
        </w:rPr>
        <w:t>对上述违规行为，视情节给予约谈、警告、严重警告处理。受到严重警告的人员，将限制其今后参与省级及以上竞赛的相关工作。受到违规处理较多的参赛队，组委会将限制其今后参赛工作。处理结果将与相关人员评价相结合，并在一定范围内通报。对裁判长的处理结果纳入其工作评估。对领队及助理违规行为的处理结果，通报本人所在单位。</w:t>
      </w:r>
    </w:p>
    <w:p w14:paraId="7E10DEF5">
      <w:pPr>
        <w:adjustRightInd w:val="0"/>
        <w:snapToGrid w:val="0"/>
        <w:spacing w:line="360" w:lineRule="auto"/>
        <w:outlineLvl w:val="0"/>
        <w:rPr>
          <w:rFonts w:hint="eastAsia" w:ascii="仿宋" w:hAnsi="仿宋" w:eastAsia="仿宋"/>
          <w:b/>
          <w:bCs/>
          <w:kern w:val="0"/>
          <w:sz w:val="30"/>
          <w:szCs w:val="30"/>
        </w:rPr>
      </w:pPr>
      <w:bookmarkStart w:id="72" w:name="_Toc24098"/>
      <w:r>
        <w:rPr>
          <w:rFonts w:hint="eastAsia" w:ascii="仿宋" w:hAnsi="仿宋" w:eastAsia="仿宋"/>
          <w:b/>
          <w:bCs/>
          <w:kern w:val="0"/>
          <w:sz w:val="30"/>
          <w:szCs w:val="30"/>
        </w:rPr>
        <w:t>9.4</w:t>
      </w:r>
      <w:r>
        <w:rPr>
          <w:rFonts w:ascii="仿宋" w:hAnsi="仿宋" w:eastAsia="仿宋"/>
          <w:b/>
          <w:bCs/>
          <w:kern w:val="0"/>
          <w:sz w:val="30"/>
          <w:szCs w:val="30"/>
        </w:rPr>
        <w:t>违规处理登记</w:t>
      </w:r>
      <w:bookmarkEnd w:id="72"/>
    </w:p>
    <w:p w14:paraId="063CEFEE">
      <w:pPr>
        <w:adjustRightInd w:val="0"/>
        <w:snapToGrid w:val="0"/>
        <w:spacing w:line="360" w:lineRule="auto"/>
        <w:ind w:firstLine="560" w:firstLineChars="200"/>
        <w:rPr>
          <w:rFonts w:hint="eastAsia" w:ascii="仿宋" w:hAnsi="仿宋" w:eastAsia="仿宋"/>
          <w:sz w:val="28"/>
          <w:szCs w:val="28"/>
        </w:rPr>
      </w:pPr>
      <w:r>
        <w:rPr>
          <w:rFonts w:ascii="仿宋" w:hAnsi="仿宋" w:eastAsia="仿宋"/>
          <w:sz w:val="28"/>
          <w:szCs w:val="28"/>
        </w:rPr>
        <w:t>违规处理结果由实施人在《</w:t>
      </w:r>
      <w:r>
        <w:rPr>
          <w:rFonts w:hint="eastAsia" w:ascii="仿宋" w:hAnsi="仿宋" w:eastAsia="仿宋"/>
          <w:sz w:val="28"/>
          <w:szCs w:val="28"/>
        </w:rPr>
        <w:t>中山市第六届职业技能大赛</w:t>
      </w:r>
      <w:r>
        <w:rPr>
          <w:rFonts w:ascii="仿宋" w:hAnsi="仿宋" w:eastAsia="仿宋"/>
          <w:sz w:val="28"/>
          <w:szCs w:val="28"/>
        </w:rPr>
        <w:t>违规行为处理登记表》中记录交</w:t>
      </w:r>
      <w:r>
        <w:rPr>
          <w:rFonts w:hint="eastAsia" w:ascii="仿宋" w:hAnsi="仿宋" w:eastAsia="仿宋"/>
          <w:sz w:val="28"/>
          <w:szCs w:val="28"/>
        </w:rPr>
        <w:t>项目承办单位</w:t>
      </w:r>
      <w:r>
        <w:rPr>
          <w:rFonts w:ascii="仿宋" w:hAnsi="仿宋" w:eastAsia="仿宋"/>
          <w:sz w:val="28"/>
          <w:szCs w:val="28"/>
        </w:rPr>
        <w:t>存档</w:t>
      </w:r>
      <w:r>
        <w:rPr>
          <w:rFonts w:hint="eastAsia" w:ascii="仿宋" w:hAnsi="仿宋" w:eastAsia="仿宋"/>
          <w:sz w:val="28"/>
          <w:szCs w:val="28"/>
        </w:rPr>
        <w:t>，项目承办单位应</w:t>
      </w:r>
      <w:r>
        <w:rPr>
          <w:rFonts w:ascii="仿宋" w:hAnsi="仿宋" w:eastAsia="仿宋"/>
          <w:sz w:val="28"/>
          <w:szCs w:val="28"/>
        </w:rPr>
        <w:t>在大赛结束后1周内汇总报送组委会备案。</w:t>
      </w:r>
    </w:p>
    <w:p w14:paraId="5C2B61C1">
      <w:pPr>
        <w:pStyle w:val="2"/>
        <w:adjustRightInd w:val="0"/>
        <w:snapToGrid w:val="0"/>
        <w:spacing w:beforeLines="0" w:afterLines="0" w:line="360" w:lineRule="auto"/>
        <w:rPr>
          <w:rFonts w:hint="eastAsia" w:ascii="仿宋" w:hAnsi="仿宋" w:eastAsia="仿宋"/>
          <w:sz w:val="32"/>
          <w:szCs w:val="32"/>
        </w:rPr>
      </w:pPr>
      <w:bookmarkStart w:id="73" w:name="_Toc7945"/>
      <w:r>
        <w:rPr>
          <w:rFonts w:hint="eastAsia" w:ascii="仿宋" w:hAnsi="仿宋" w:eastAsia="仿宋"/>
          <w:sz w:val="32"/>
          <w:szCs w:val="32"/>
        </w:rPr>
        <w:t>10</w:t>
      </w:r>
      <w:r>
        <w:rPr>
          <w:rFonts w:ascii="仿宋" w:hAnsi="仿宋" w:eastAsia="仿宋"/>
          <w:sz w:val="32"/>
          <w:szCs w:val="32"/>
        </w:rPr>
        <w:t>问题或争议处理</w:t>
      </w:r>
      <w:bookmarkEnd w:id="73"/>
    </w:p>
    <w:p w14:paraId="113048B4">
      <w:pPr>
        <w:adjustRightInd w:val="0"/>
        <w:snapToGrid w:val="0"/>
        <w:spacing w:line="360" w:lineRule="auto"/>
        <w:ind w:firstLine="560" w:firstLineChars="200"/>
        <w:rPr>
          <w:rFonts w:hint="eastAsia" w:ascii="仿宋" w:hAnsi="仿宋" w:eastAsia="仿宋"/>
          <w:sz w:val="28"/>
          <w:szCs w:val="28"/>
        </w:rPr>
      </w:pPr>
      <w:r>
        <w:rPr>
          <w:rFonts w:ascii="仿宋" w:hAnsi="仿宋" w:eastAsia="仿宋"/>
          <w:sz w:val="28"/>
          <w:szCs w:val="28"/>
        </w:rPr>
        <w:t>大赛期间，与竞赛有关的问题或争议，各方应通过正当渠道并按程序反映和申诉，不得擅自传播、扩散。对竞赛期间出现的问题或争议按以下程序解决：</w:t>
      </w:r>
    </w:p>
    <w:p w14:paraId="355093D3">
      <w:pPr>
        <w:adjustRightInd w:val="0"/>
        <w:snapToGrid w:val="0"/>
        <w:spacing w:line="360" w:lineRule="auto"/>
        <w:outlineLvl w:val="0"/>
        <w:rPr>
          <w:rFonts w:hint="eastAsia" w:ascii="仿宋" w:hAnsi="仿宋" w:eastAsia="仿宋"/>
          <w:b/>
          <w:bCs/>
          <w:kern w:val="0"/>
          <w:sz w:val="30"/>
          <w:szCs w:val="30"/>
        </w:rPr>
      </w:pPr>
      <w:bookmarkStart w:id="74" w:name="_Toc7745"/>
      <w:r>
        <w:rPr>
          <w:rFonts w:hint="eastAsia" w:ascii="仿宋" w:hAnsi="仿宋" w:eastAsia="仿宋"/>
          <w:b/>
          <w:bCs/>
          <w:kern w:val="0"/>
          <w:sz w:val="30"/>
          <w:szCs w:val="30"/>
        </w:rPr>
        <w:t>10.1</w:t>
      </w:r>
      <w:r>
        <w:rPr>
          <w:rFonts w:ascii="仿宋" w:hAnsi="仿宋" w:eastAsia="仿宋"/>
          <w:b/>
          <w:bCs/>
          <w:kern w:val="0"/>
          <w:sz w:val="30"/>
          <w:szCs w:val="30"/>
        </w:rPr>
        <w:t>竞赛项目内解决</w:t>
      </w:r>
      <w:bookmarkEnd w:id="74"/>
    </w:p>
    <w:p w14:paraId="1483D098">
      <w:pPr>
        <w:adjustRightInd w:val="0"/>
        <w:snapToGrid w:val="0"/>
        <w:spacing w:line="360" w:lineRule="auto"/>
        <w:ind w:firstLine="560" w:firstLineChars="200"/>
        <w:rPr>
          <w:rFonts w:hint="eastAsia" w:ascii="仿宋" w:hAnsi="仿宋" w:eastAsia="仿宋"/>
          <w:sz w:val="28"/>
          <w:szCs w:val="28"/>
        </w:rPr>
      </w:pPr>
      <w:r>
        <w:rPr>
          <w:rFonts w:ascii="仿宋" w:hAnsi="仿宋" w:eastAsia="仿宋"/>
          <w:sz w:val="28"/>
          <w:szCs w:val="28"/>
        </w:rPr>
        <w:t>参赛选手、裁判员发现竞赛过程中存在问题或争议，应向裁判长反映。裁判长依据相关规定处理或组织比赛现场裁判员研究解决。处理意见需全体裁判员表决的，须获半数以上通过。最终处理意见应及时告知意见反映人，并填写《</w:t>
      </w:r>
      <w:r>
        <w:rPr>
          <w:rFonts w:hint="eastAsia" w:ascii="仿宋" w:hAnsi="仿宋" w:eastAsia="仿宋"/>
          <w:sz w:val="28"/>
          <w:szCs w:val="28"/>
        </w:rPr>
        <w:t>中山市第六届职业技能大赛</w:t>
      </w:r>
      <w:r>
        <w:rPr>
          <w:rFonts w:ascii="仿宋" w:hAnsi="仿宋" w:eastAsia="仿宋"/>
          <w:sz w:val="28"/>
          <w:szCs w:val="28"/>
        </w:rPr>
        <w:t>问题或争议处理记录表》（以下简称《争议处理记录表》）。处理期间，</w:t>
      </w:r>
      <w:r>
        <w:rPr>
          <w:rFonts w:hint="eastAsia" w:ascii="仿宋" w:hAnsi="仿宋" w:eastAsia="仿宋"/>
          <w:sz w:val="28"/>
          <w:szCs w:val="28"/>
        </w:rPr>
        <w:t>项目承办单位</w:t>
      </w:r>
      <w:r>
        <w:rPr>
          <w:rFonts w:ascii="仿宋" w:hAnsi="仿宋" w:eastAsia="仿宋"/>
          <w:sz w:val="28"/>
          <w:szCs w:val="28"/>
        </w:rPr>
        <w:t>和组委会</w:t>
      </w:r>
      <w:r>
        <w:rPr>
          <w:rFonts w:hint="eastAsia" w:ascii="仿宋" w:hAnsi="仿宋" w:eastAsia="仿宋"/>
          <w:sz w:val="28"/>
          <w:szCs w:val="28"/>
        </w:rPr>
        <w:t>赛务与</w:t>
      </w:r>
      <w:r>
        <w:rPr>
          <w:rFonts w:ascii="仿宋" w:hAnsi="仿宋" w:eastAsia="仿宋"/>
          <w:sz w:val="28"/>
          <w:szCs w:val="28"/>
        </w:rPr>
        <w:t>技术</w:t>
      </w:r>
      <w:r>
        <w:rPr>
          <w:rFonts w:hint="eastAsia" w:ascii="仿宋" w:hAnsi="仿宋" w:eastAsia="仿宋"/>
          <w:sz w:val="28"/>
          <w:szCs w:val="28"/>
        </w:rPr>
        <w:t>保障</w:t>
      </w:r>
      <w:r>
        <w:rPr>
          <w:rFonts w:ascii="仿宋" w:hAnsi="仿宋" w:eastAsia="仿宋"/>
          <w:sz w:val="28"/>
          <w:szCs w:val="28"/>
        </w:rPr>
        <w:t>组给予支持和指导。</w:t>
      </w:r>
    </w:p>
    <w:p w14:paraId="19B258AF">
      <w:pPr>
        <w:adjustRightInd w:val="0"/>
        <w:snapToGrid w:val="0"/>
        <w:spacing w:line="360" w:lineRule="auto"/>
        <w:outlineLvl w:val="0"/>
        <w:rPr>
          <w:rFonts w:hint="eastAsia" w:ascii="仿宋" w:hAnsi="仿宋" w:eastAsia="仿宋"/>
          <w:b/>
          <w:bCs/>
          <w:kern w:val="0"/>
          <w:sz w:val="30"/>
          <w:szCs w:val="30"/>
        </w:rPr>
      </w:pPr>
      <w:bookmarkStart w:id="75" w:name="_Toc8831"/>
      <w:r>
        <w:rPr>
          <w:rFonts w:hint="eastAsia" w:ascii="仿宋" w:hAnsi="仿宋" w:eastAsia="仿宋"/>
          <w:b/>
          <w:bCs/>
          <w:kern w:val="0"/>
          <w:sz w:val="30"/>
          <w:szCs w:val="30"/>
        </w:rPr>
        <w:t>10.2</w:t>
      </w:r>
      <w:r>
        <w:rPr>
          <w:rFonts w:ascii="仿宋" w:hAnsi="仿宋" w:eastAsia="仿宋"/>
          <w:b/>
          <w:bCs/>
          <w:kern w:val="0"/>
          <w:sz w:val="30"/>
          <w:szCs w:val="30"/>
        </w:rPr>
        <w:t>监督仲裁组解决</w:t>
      </w:r>
      <w:bookmarkEnd w:id="75"/>
    </w:p>
    <w:p w14:paraId="642C312E">
      <w:pPr>
        <w:adjustRightInd w:val="0"/>
        <w:snapToGrid w:val="0"/>
        <w:spacing w:line="360" w:lineRule="auto"/>
        <w:ind w:firstLine="560" w:firstLineChars="200"/>
        <w:rPr>
          <w:rFonts w:hint="eastAsia" w:ascii="仿宋" w:hAnsi="仿宋" w:eastAsia="仿宋"/>
          <w:sz w:val="28"/>
          <w:szCs w:val="28"/>
        </w:rPr>
      </w:pPr>
      <w:r>
        <w:rPr>
          <w:rFonts w:ascii="仿宋" w:hAnsi="仿宋" w:eastAsia="仿宋"/>
          <w:sz w:val="28"/>
          <w:szCs w:val="28"/>
        </w:rPr>
        <w:t>对项目内处理结果有异议的，在参赛选手成绩最终确认前，</w:t>
      </w:r>
      <w:r>
        <w:rPr>
          <w:rFonts w:hint="eastAsia" w:ascii="仿宋" w:hAnsi="仿宋" w:eastAsia="仿宋"/>
          <w:sz w:val="28"/>
          <w:szCs w:val="28"/>
        </w:rPr>
        <w:t>由</w:t>
      </w:r>
      <w:r>
        <w:rPr>
          <w:rFonts w:ascii="仿宋" w:hAnsi="仿宋" w:eastAsia="仿宋"/>
          <w:sz w:val="28"/>
          <w:szCs w:val="28"/>
        </w:rPr>
        <w:t>领队可向</w:t>
      </w:r>
      <w:r>
        <w:rPr>
          <w:rFonts w:hint="eastAsia" w:ascii="仿宋" w:hAnsi="仿宋" w:eastAsia="仿宋"/>
          <w:sz w:val="28"/>
          <w:szCs w:val="28"/>
        </w:rPr>
        <w:t>本项目</w:t>
      </w:r>
      <w:r>
        <w:rPr>
          <w:rFonts w:ascii="仿宋" w:hAnsi="仿宋" w:eastAsia="仿宋"/>
          <w:sz w:val="28"/>
          <w:szCs w:val="28"/>
        </w:rPr>
        <w:t>监督仲裁组出具署名的书面反映材料并举证</w:t>
      </w:r>
      <w:r>
        <w:rPr>
          <w:rFonts w:hint="eastAsia" w:ascii="仿宋" w:hAnsi="仿宋" w:eastAsia="仿宋"/>
          <w:sz w:val="28"/>
          <w:szCs w:val="28"/>
        </w:rPr>
        <w:t>，</w:t>
      </w:r>
      <w:r>
        <w:rPr>
          <w:rFonts w:hint="eastAsia" w:eastAsia="仿宋"/>
          <w:color w:val="000000"/>
          <w:sz w:val="30"/>
          <w:szCs w:val="30"/>
        </w:rPr>
        <w:t>非书面形式的申诉不予受理</w:t>
      </w:r>
      <w:r>
        <w:rPr>
          <w:rFonts w:ascii="仿宋" w:hAnsi="仿宋" w:eastAsia="仿宋"/>
          <w:sz w:val="28"/>
          <w:szCs w:val="28"/>
        </w:rPr>
        <w:t>。监督仲裁组在</w:t>
      </w:r>
      <w:r>
        <w:rPr>
          <w:rFonts w:hint="eastAsia" w:ascii="仿宋" w:hAnsi="仿宋" w:eastAsia="仿宋"/>
          <w:sz w:val="28"/>
          <w:szCs w:val="28"/>
        </w:rPr>
        <w:t>项目承办单位</w:t>
      </w:r>
      <w:r>
        <w:rPr>
          <w:rFonts w:ascii="仿宋" w:hAnsi="仿宋" w:eastAsia="仿宋"/>
          <w:sz w:val="28"/>
          <w:szCs w:val="28"/>
        </w:rPr>
        <w:t>协助下受理并开展调查。其中，经调查所反映情况属技术性问题的，仍交由竞赛项目内解决。属非技术性问题的，由监督仲裁组作最终裁决。各类问题或争议处理情况，由</w:t>
      </w:r>
      <w:r>
        <w:rPr>
          <w:rFonts w:hint="eastAsia" w:ascii="仿宋" w:hAnsi="仿宋" w:eastAsia="仿宋"/>
          <w:sz w:val="28"/>
          <w:szCs w:val="28"/>
        </w:rPr>
        <w:t>项目承办单位</w:t>
      </w:r>
      <w:r>
        <w:rPr>
          <w:rFonts w:ascii="仿宋" w:hAnsi="仿宋" w:eastAsia="仿宋"/>
          <w:sz w:val="28"/>
          <w:szCs w:val="28"/>
        </w:rPr>
        <w:t>填写《争议处理记录表》报</w:t>
      </w:r>
      <w:r>
        <w:rPr>
          <w:rFonts w:hint="eastAsia" w:ascii="仿宋" w:hAnsi="仿宋" w:eastAsia="仿宋"/>
          <w:sz w:val="28"/>
          <w:szCs w:val="28"/>
        </w:rPr>
        <w:t>大赛组委会赛务与技术保障</w:t>
      </w:r>
      <w:r>
        <w:rPr>
          <w:rFonts w:ascii="仿宋" w:hAnsi="仿宋" w:eastAsia="仿宋"/>
          <w:sz w:val="28"/>
          <w:szCs w:val="28"/>
        </w:rPr>
        <w:t>组备案。</w:t>
      </w:r>
    </w:p>
    <w:p w14:paraId="1C825809">
      <w:pPr>
        <w:pStyle w:val="2"/>
        <w:adjustRightInd w:val="0"/>
        <w:snapToGrid w:val="0"/>
        <w:spacing w:beforeLines="0" w:afterLines="0" w:line="360" w:lineRule="auto"/>
        <w:rPr>
          <w:rFonts w:hint="eastAsia" w:ascii="仿宋" w:hAnsi="仿宋" w:eastAsia="仿宋"/>
          <w:sz w:val="32"/>
          <w:szCs w:val="32"/>
        </w:rPr>
      </w:pPr>
      <w:bookmarkStart w:id="76" w:name="_Toc30981"/>
      <w:r>
        <w:rPr>
          <w:rFonts w:hint="eastAsia" w:ascii="仿宋" w:hAnsi="仿宋" w:eastAsia="仿宋"/>
          <w:sz w:val="32"/>
          <w:szCs w:val="32"/>
        </w:rPr>
        <w:t>11</w:t>
      </w:r>
      <w:r>
        <w:rPr>
          <w:rFonts w:ascii="仿宋" w:hAnsi="仿宋" w:eastAsia="仿宋"/>
          <w:sz w:val="32"/>
          <w:szCs w:val="32"/>
        </w:rPr>
        <w:t>附则</w:t>
      </w:r>
      <w:bookmarkEnd w:id="76"/>
    </w:p>
    <w:p w14:paraId="16B8E81E">
      <w:pPr>
        <w:adjustRightInd w:val="0"/>
        <w:snapToGrid w:val="0"/>
        <w:spacing w:line="360" w:lineRule="auto"/>
        <w:ind w:firstLine="560" w:firstLineChars="200"/>
        <w:rPr>
          <w:rFonts w:hint="eastAsia" w:ascii="仿宋" w:hAnsi="仿宋" w:eastAsia="仿宋"/>
          <w:sz w:val="28"/>
          <w:szCs w:val="28"/>
        </w:rPr>
      </w:pPr>
      <w:r>
        <w:rPr>
          <w:rFonts w:ascii="仿宋" w:hAnsi="仿宋" w:eastAsia="仿宋"/>
          <w:sz w:val="28"/>
          <w:szCs w:val="28"/>
        </w:rPr>
        <w:t>本</w:t>
      </w:r>
      <w:r>
        <w:rPr>
          <w:rFonts w:hint="eastAsia" w:ascii="仿宋" w:hAnsi="仿宋" w:eastAsia="仿宋"/>
          <w:sz w:val="28"/>
          <w:szCs w:val="28"/>
        </w:rPr>
        <w:t>项目技术工作文件</w:t>
      </w:r>
      <w:r>
        <w:rPr>
          <w:rFonts w:ascii="仿宋" w:hAnsi="仿宋" w:eastAsia="仿宋"/>
          <w:sz w:val="28"/>
          <w:szCs w:val="28"/>
        </w:rPr>
        <w:t>自正式</w:t>
      </w:r>
      <w:r>
        <w:rPr>
          <w:rFonts w:hint="eastAsia" w:ascii="仿宋" w:hAnsi="仿宋" w:eastAsia="仿宋"/>
          <w:sz w:val="28"/>
          <w:szCs w:val="28"/>
        </w:rPr>
        <w:t>发布</w:t>
      </w:r>
      <w:r>
        <w:rPr>
          <w:rFonts w:ascii="仿宋" w:hAnsi="仿宋" w:eastAsia="仿宋"/>
          <w:sz w:val="28"/>
          <w:szCs w:val="28"/>
        </w:rPr>
        <w:t>之日起生效</w:t>
      </w:r>
      <w:r>
        <w:rPr>
          <w:rFonts w:hint="eastAsia" w:ascii="仿宋" w:hAnsi="仿宋" w:eastAsia="仿宋"/>
          <w:sz w:val="28"/>
          <w:szCs w:val="28"/>
        </w:rPr>
        <w:t>，</w:t>
      </w:r>
      <w:r>
        <w:rPr>
          <w:rFonts w:ascii="仿宋" w:hAnsi="仿宋" w:eastAsia="仿宋"/>
          <w:sz w:val="28"/>
          <w:szCs w:val="28"/>
        </w:rPr>
        <w:t>最终解释权归</w:t>
      </w:r>
      <w:r>
        <w:rPr>
          <w:rFonts w:hint="eastAsia" w:ascii="仿宋" w:hAnsi="仿宋" w:eastAsia="仿宋"/>
          <w:sz w:val="28"/>
          <w:szCs w:val="28"/>
        </w:rPr>
        <w:t>本项目执委会</w:t>
      </w:r>
      <w:r>
        <w:rPr>
          <w:rFonts w:ascii="仿宋" w:hAnsi="仿宋" w:eastAsia="仿宋"/>
          <w:sz w:val="28"/>
          <w:szCs w:val="28"/>
        </w:rPr>
        <w:t>。</w:t>
      </w:r>
    </w:p>
    <w:p w14:paraId="1EA00156">
      <w:pPr>
        <w:adjustRightInd w:val="0"/>
        <w:snapToGrid w:val="0"/>
        <w:spacing w:line="360" w:lineRule="auto"/>
        <w:ind w:firstLine="420" w:firstLineChars="200"/>
        <w:rPr>
          <w:rFonts w:hint="eastAsia" w:ascii="仿宋" w:hAnsi="仿宋" w:eastAsia="仿宋"/>
        </w:rPr>
        <w:sectPr>
          <w:footerReference r:id="rId6" w:type="default"/>
          <w:pgSz w:w="11906" w:h="16838"/>
          <w:pgMar w:top="1247" w:right="1588" w:bottom="1247" w:left="1588" w:header="851" w:footer="992" w:gutter="0"/>
          <w:pgNumType w:start="1"/>
          <w:cols w:space="720" w:num="1"/>
          <w:docGrid w:linePitch="312" w:charSpace="0"/>
        </w:sectPr>
      </w:pPr>
    </w:p>
    <w:p w14:paraId="4B5B4380">
      <w:pPr>
        <w:pStyle w:val="2"/>
        <w:adjustRightInd w:val="0"/>
        <w:snapToGrid w:val="0"/>
        <w:spacing w:beforeLines="0" w:afterLines="0" w:line="360" w:lineRule="auto"/>
        <w:rPr>
          <w:rFonts w:hint="eastAsia" w:ascii="仿宋" w:hAnsi="仿宋" w:eastAsia="仿宋"/>
          <w:sz w:val="30"/>
          <w:szCs w:val="30"/>
        </w:rPr>
      </w:pPr>
      <w:bookmarkStart w:id="77" w:name="_Toc20708"/>
      <w:r>
        <w:rPr>
          <w:rFonts w:hint="eastAsia" w:ascii="仿宋" w:hAnsi="仿宋" w:eastAsia="仿宋"/>
          <w:sz w:val="30"/>
          <w:szCs w:val="30"/>
        </w:rPr>
        <w:t>附件:《</w:t>
      </w:r>
      <w:r>
        <w:rPr>
          <w:rFonts w:hint="eastAsia" w:ascii="仿宋" w:hAnsi="仿宋" w:eastAsia="仿宋"/>
          <w:sz w:val="30"/>
          <w:szCs w:val="30"/>
          <w:lang w:eastAsia="zh-CN"/>
        </w:rPr>
        <w:t>服装水洗工</w:t>
      </w:r>
      <w:r>
        <w:rPr>
          <w:rFonts w:hint="eastAsia" w:ascii="仿宋" w:hAnsi="仿宋" w:eastAsia="仿宋"/>
          <w:sz w:val="30"/>
          <w:szCs w:val="30"/>
        </w:rPr>
        <w:t>》（三级/高级）项目竞赛试题（样例）</w:t>
      </w:r>
      <w:bookmarkEnd w:id="77"/>
    </w:p>
    <w:p w14:paraId="5FC48726">
      <w:pPr>
        <w:spacing w:line="360" w:lineRule="auto"/>
        <w:rPr>
          <w:rFonts w:hint="eastAsia" w:ascii="仿宋" w:hAnsi="仿宋" w:eastAsia="仿宋"/>
          <w:b/>
          <w:bCs/>
          <w:sz w:val="30"/>
          <w:szCs w:val="30"/>
        </w:rPr>
      </w:pPr>
      <w:r>
        <w:rPr>
          <w:rFonts w:hint="eastAsia" w:ascii="仿宋" w:hAnsi="仿宋" w:eastAsia="仿宋"/>
          <w:b/>
          <w:bCs/>
          <w:sz w:val="30"/>
          <w:szCs w:val="30"/>
        </w:rPr>
        <w:t>第一部分理论竞赛试题（样卷）</w:t>
      </w:r>
    </w:p>
    <w:p w14:paraId="10ADF808">
      <w:pPr>
        <w:spacing w:line="360" w:lineRule="auto"/>
        <w:rPr>
          <w:rFonts w:hint="eastAsia" w:ascii="仿宋" w:hAnsi="仿宋" w:eastAsia="仿宋"/>
          <w:sz w:val="24"/>
        </w:rPr>
      </w:pPr>
      <w:r>
        <w:rPr>
          <w:rFonts w:hint="eastAsia" w:ascii="仿宋" w:hAnsi="仿宋" w:eastAsia="仿宋"/>
          <w:sz w:val="24"/>
        </w:rPr>
        <w:t>•考核时长：90min（依据《服装水洗工国家职业标准（2024年版）》三级/高级工理论知识考试不少于90分钟）</w:t>
      </w:r>
    </w:p>
    <w:p w14:paraId="733D7E7C">
      <w:pPr>
        <w:spacing w:line="360" w:lineRule="auto"/>
        <w:rPr>
          <w:rFonts w:hint="eastAsia" w:ascii="仿宋" w:hAnsi="仿宋" w:eastAsia="仿宋"/>
          <w:sz w:val="24"/>
          <w:lang w:eastAsia="zh-CN"/>
        </w:rPr>
      </w:pPr>
      <w:r>
        <w:rPr>
          <w:rFonts w:hint="eastAsia" w:ascii="仿宋" w:hAnsi="仿宋" w:eastAsia="仿宋"/>
          <w:sz w:val="24"/>
        </w:rPr>
        <w:t>•满分：100分，</w:t>
      </w:r>
      <w:r>
        <w:rPr>
          <w:rFonts w:hint="eastAsia" w:ascii="仿宋" w:hAnsi="仿宋" w:eastAsia="仿宋"/>
          <w:sz w:val="24"/>
          <w:lang w:eastAsia="zh-CN"/>
        </w:rPr>
        <w:t>不计入决赛总分。</w:t>
      </w:r>
    </w:p>
    <w:p w14:paraId="3E0B6102">
      <w:pPr>
        <w:spacing w:line="360" w:lineRule="auto"/>
        <w:rPr>
          <w:rFonts w:hint="eastAsia" w:ascii="仿宋" w:hAnsi="仿宋" w:eastAsia="仿宋"/>
          <w:sz w:val="24"/>
        </w:rPr>
      </w:pPr>
      <w:r>
        <w:rPr>
          <w:rFonts w:hint="eastAsia" w:ascii="仿宋" w:hAnsi="仿宋" w:eastAsia="仿宋"/>
          <w:sz w:val="24"/>
        </w:rPr>
        <w:t>•题型：单选60题（每题1分）、判断40题（每题1分）</w:t>
      </w:r>
    </w:p>
    <w:p w14:paraId="5ABBEE41">
      <w:pPr>
        <w:spacing w:line="360" w:lineRule="auto"/>
        <w:rPr>
          <w:rFonts w:hint="eastAsia" w:ascii="仿宋" w:hAnsi="仿宋" w:eastAsia="仿宋"/>
          <w:sz w:val="24"/>
        </w:rPr>
      </w:pPr>
      <w:r>
        <w:rPr>
          <w:rFonts w:hint="eastAsia" w:ascii="仿宋" w:hAnsi="仿宋" w:eastAsia="仿宋"/>
          <w:sz w:val="24"/>
        </w:rPr>
        <w:t>•考核形式：闭卷纸质答题卡，客观阅卷，禁止携带任何资料手机</w:t>
      </w:r>
    </w:p>
    <w:p w14:paraId="4287B5B5">
      <w:pPr>
        <w:spacing w:line="360" w:lineRule="auto"/>
        <w:rPr>
          <w:rFonts w:hint="eastAsia" w:ascii="仿宋" w:hAnsi="仿宋" w:eastAsia="仿宋"/>
          <w:b/>
          <w:bCs/>
          <w:sz w:val="24"/>
        </w:rPr>
      </w:pPr>
      <w:r>
        <w:rPr>
          <w:rFonts w:hint="eastAsia" w:ascii="仿宋" w:hAnsi="仿宋" w:eastAsia="仿宋"/>
          <w:b/>
          <w:bCs/>
          <w:sz w:val="24"/>
        </w:rPr>
        <w:t>一、理论样题节选</w:t>
      </w:r>
    </w:p>
    <w:p w14:paraId="6766FBDC">
      <w:pPr>
        <w:spacing w:line="360" w:lineRule="auto"/>
        <w:rPr>
          <w:rFonts w:hint="eastAsia" w:ascii="仿宋" w:hAnsi="仿宋" w:eastAsia="仿宋"/>
          <w:sz w:val="24"/>
        </w:rPr>
      </w:pPr>
      <w:r>
        <w:rPr>
          <w:rFonts w:hint="eastAsia" w:ascii="仿宋" w:hAnsi="仿宋" w:eastAsia="仿宋"/>
          <w:sz w:val="24"/>
        </w:rPr>
        <w:t>（一）单选题（节选10道）</w:t>
      </w:r>
    </w:p>
    <w:p w14:paraId="700B5BD0">
      <w:pPr>
        <w:spacing w:line="360" w:lineRule="auto"/>
        <w:rPr>
          <w:rFonts w:hint="eastAsia" w:ascii="仿宋" w:hAnsi="仿宋" w:eastAsia="仿宋"/>
          <w:sz w:val="24"/>
        </w:rPr>
      </w:pPr>
      <w:r>
        <w:rPr>
          <w:rFonts w:hint="eastAsia" w:ascii="仿宋" w:hAnsi="仿宋" w:eastAsia="仿宋"/>
          <w:sz w:val="24"/>
        </w:rPr>
        <w:t>1.纯棉牛仔淀粉浆退浆首选酶制剂为（）</w:t>
      </w:r>
    </w:p>
    <w:p w14:paraId="27B61A71">
      <w:pPr>
        <w:spacing w:line="360" w:lineRule="auto"/>
        <w:rPr>
          <w:rFonts w:hint="eastAsia" w:ascii="仿宋" w:hAnsi="仿宋" w:eastAsia="仿宋"/>
          <w:sz w:val="24"/>
        </w:rPr>
      </w:pPr>
      <w:r>
        <w:rPr>
          <w:rFonts w:hint="eastAsia" w:ascii="仿宋" w:hAnsi="仿宋" w:eastAsia="仿宋"/>
          <w:sz w:val="24"/>
        </w:rPr>
        <w:t>A.中性纤维素酶B.淀粉酶C.漂白酶D.蛋白酶</w:t>
      </w:r>
    </w:p>
    <w:p w14:paraId="48634746">
      <w:pPr>
        <w:spacing w:line="360" w:lineRule="auto"/>
        <w:rPr>
          <w:rFonts w:hint="eastAsia" w:ascii="仿宋" w:hAnsi="仿宋" w:eastAsia="仿宋"/>
          <w:sz w:val="24"/>
        </w:rPr>
      </w:pPr>
      <w:r>
        <w:rPr>
          <w:rFonts w:hint="eastAsia" w:ascii="仿宋" w:hAnsi="仿宋" w:eastAsia="仿宋"/>
          <w:sz w:val="24"/>
        </w:rPr>
        <w:t>2.酸性纤维素酶最佳工作pH区间为（）</w:t>
      </w:r>
    </w:p>
    <w:p w14:paraId="02586860">
      <w:pPr>
        <w:spacing w:line="360" w:lineRule="auto"/>
        <w:rPr>
          <w:rFonts w:hint="eastAsia" w:ascii="仿宋" w:hAnsi="仿宋" w:eastAsia="仿宋"/>
          <w:sz w:val="24"/>
        </w:rPr>
      </w:pPr>
      <w:r>
        <w:rPr>
          <w:rFonts w:hint="eastAsia" w:ascii="仿宋" w:hAnsi="仿宋" w:eastAsia="仿宋"/>
          <w:sz w:val="24"/>
        </w:rPr>
        <w:t>A.4.5\5.5B.6.0\7.0C.7.5~8.5D.9.0以上</w:t>
      </w:r>
    </w:p>
    <w:p w14:paraId="42F350A9">
      <w:pPr>
        <w:spacing w:line="360" w:lineRule="auto"/>
        <w:rPr>
          <w:rFonts w:hint="eastAsia" w:ascii="仿宋" w:hAnsi="仿宋" w:eastAsia="仿宋"/>
          <w:sz w:val="24"/>
        </w:rPr>
      </w:pPr>
      <w:r>
        <w:rPr>
          <w:rFonts w:hint="eastAsia" w:ascii="仿宋" w:hAnsi="仿宋" w:eastAsia="仿宋"/>
          <w:sz w:val="24"/>
        </w:rPr>
        <w:t>3.弹力牛仔洗水为避免断弹，不宜长时间高转速搭配（）</w:t>
      </w:r>
    </w:p>
    <w:p w14:paraId="762543AE">
      <w:pPr>
        <w:spacing w:line="360" w:lineRule="auto"/>
        <w:rPr>
          <w:rFonts w:hint="eastAsia" w:ascii="仿宋" w:hAnsi="仿宋" w:eastAsia="仿宋"/>
          <w:sz w:val="24"/>
        </w:rPr>
      </w:pPr>
      <w:r>
        <w:rPr>
          <w:rFonts w:hint="eastAsia" w:ascii="仿宋" w:hAnsi="仿宋" w:eastAsia="仿宋"/>
          <w:sz w:val="24"/>
        </w:rPr>
        <w:t>A.中性酶B.高温酸性酶C.低温酵素D.防回染剂</w:t>
      </w:r>
    </w:p>
    <w:p w14:paraId="59FA530B">
      <w:pPr>
        <w:spacing w:line="360" w:lineRule="auto"/>
        <w:rPr>
          <w:rFonts w:hint="eastAsia" w:ascii="仿宋" w:hAnsi="仿宋" w:eastAsia="仿宋"/>
          <w:sz w:val="24"/>
        </w:rPr>
      </w:pPr>
      <w:r>
        <w:rPr>
          <w:rFonts w:hint="eastAsia" w:ascii="仿宋" w:hAnsi="仿宋" w:eastAsia="仿宋"/>
          <w:sz w:val="24"/>
        </w:rPr>
        <w:t>4.环保浮石同等洗水效果下，用量为普通</w:t>
      </w:r>
      <w:r>
        <w:rPr>
          <w:rFonts w:hint="eastAsia" w:ascii="仿宋" w:hAnsi="仿宋" w:eastAsia="仿宋"/>
          <w:sz w:val="24"/>
          <w:lang w:eastAsia="zh-CN"/>
        </w:rPr>
        <w:t>天然</w:t>
      </w:r>
      <w:r>
        <w:rPr>
          <w:rFonts w:hint="eastAsia" w:ascii="仿宋" w:hAnsi="仿宋" w:eastAsia="仿宋"/>
          <w:sz w:val="24"/>
        </w:rPr>
        <w:t>浮石的（）</w:t>
      </w:r>
    </w:p>
    <w:p w14:paraId="24BB59CD">
      <w:pPr>
        <w:spacing w:line="360" w:lineRule="auto"/>
        <w:rPr>
          <w:rFonts w:hint="eastAsia" w:ascii="仿宋" w:hAnsi="仿宋" w:eastAsia="仿宋"/>
          <w:sz w:val="24"/>
        </w:rPr>
      </w:pPr>
      <w:r>
        <w:rPr>
          <w:rFonts w:hint="eastAsia" w:ascii="仿宋" w:hAnsi="仿宋" w:eastAsia="仿宋"/>
          <w:sz w:val="24"/>
        </w:rPr>
        <w:t>A.1/2~1/3B.等量C.2倍D.3倍</w:t>
      </w:r>
    </w:p>
    <w:p w14:paraId="31E8211D">
      <w:pPr>
        <w:spacing w:line="360" w:lineRule="auto"/>
        <w:rPr>
          <w:rFonts w:hint="eastAsia" w:ascii="仿宋" w:hAnsi="仿宋" w:eastAsia="仿宋"/>
          <w:sz w:val="24"/>
        </w:rPr>
      </w:pPr>
      <w:r>
        <w:rPr>
          <w:rFonts w:hint="eastAsia" w:ascii="仿宋" w:hAnsi="仿宋" w:eastAsia="仿宋"/>
          <w:sz w:val="24"/>
        </w:rPr>
        <w:t>5.酵素洗完成后调碱灭活，目的是（）</w:t>
      </w:r>
    </w:p>
    <w:p w14:paraId="6DB6F1FF">
      <w:pPr>
        <w:spacing w:line="360" w:lineRule="auto"/>
        <w:rPr>
          <w:rFonts w:hint="eastAsia" w:ascii="仿宋" w:hAnsi="仿宋" w:eastAsia="仿宋"/>
          <w:sz w:val="24"/>
        </w:rPr>
      </w:pPr>
      <w:r>
        <w:rPr>
          <w:rFonts w:hint="eastAsia" w:ascii="仿宋" w:hAnsi="仿宋" w:eastAsia="仿宋"/>
          <w:sz w:val="24"/>
        </w:rPr>
        <w:t>A.提亮颜色B.终止酶持续腐蚀纤维C.降低水温D.去除浮石粉尘</w:t>
      </w:r>
    </w:p>
    <w:p w14:paraId="18BA1079">
      <w:pPr>
        <w:spacing w:line="360" w:lineRule="auto"/>
        <w:rPr>
          <w:rFonts w:hint="eastAsia" w:ascii="仿宋" w:hAnsi="仿宋" w:eastAsia="仿宋"/>
          <w:sz w:val="24"/>
        </w:rPr>
      </w:pPr>
      <w:r>
        <w:rPr>
          <w:rFonts w:hint="eastAsia" w:ascii="仿宋" w:hAnsi="仿宋" w:eastAsia="仿宋"/>
          <w:sz w:val="24"/>
        </w:rPr>
        <w:t>6.牛仔成衣分色标准，主要区分（）</w:t>
      </w:r>
    </w:p>
    <w:p w14:paraId="25617D63">
      <w:pPr>
        <w:spacing w:line="360" w:lineRule="auto"/>
        <w:rPr>
          <w:rFonts w:hint="eastAsia" w:ascii="仿宋" w:hAnsi="仿宋" w:eastAsia="仿宋"/>
          <w:sz w:val="24"/>
        </w:rPr>
      </w:pPr>
      <w:r>
        <w:rPr>
          <w:rFonts w:hint="eastAsia" w:ascii="仿宋" w:hAnsi="仿宋" w:eastAsia="仿宋"/>
          <w:sz w:val="24"/>
        </w:rPr>
        <w:t>A.尺码B.深浅色系C.品牌D.缝制工艺</w:t>
      </w:r>
    </w:p>
    <w:p w14:paraId="7F69B439">
      <w:pPr>
        <w:spacing w:line="360" w:lineRule="auto"/>
        <w:rPr>
          <w:rFonts w:hint="eastAsia" w:ascii="仿宋" w:hAnsi="仿宋" w:eastAsia="仿宋"/>
          <w:sz w:val="24"/>
        </w:rPr>
      </w:pPr>
      <w:r>
        <w:rPr>
          <w:rFonts w:hint="eastAsia" w:ascii="仿宋" w:hAnsi="仿宋" w:eastAsia="仿宋"/>
          <w:sz w:val="24"/>
        </w:rPr>
        <w:t>7.洗水化料时，粉状酶防护核心用品是（）</w:t>
      </w:r>
    </w:p>
    <w:p w14:paraId="7C28FAE7">
      <w:pPr>
        <w:spacing w:line="360" w:lineRule="auto"/>
        <w:rPr>
          <w:rFonts w:hint="eastAsia" w:ascii="仿宋" w:hAnsi="仿宋" w:eastAsia="仿宋"/>
          <w:sz w:val="24"/>
        </w:rPr>
      </w:pPr>
      <w:r>
        <w:rPr>
          <w:rFonts w:hint="eastAsia" w:ascii="仿宋" w:hAnsi="仿宋" w:eastAsia="仿宋"/>
          <w:sz w:val="24"/>
        </w:rPr>
        <w:t>A.防滑鞋B.防尘口罩+护目镜C.遮阳帽D.耳塞</w:t>
      </w:r>
    </w:p>
    <w:p w14:paraId="2A79A0AB">
      <w:pPr>
        <w:spacing w:line="360" w:lineRule="auto"/>
        <w:rPr>
          <w:rFonts w:hint="eastAsia" w:ascii="仿宋" w:hAnsi="仿宋" w:eastAsia="仿宋"/>
          <w:sz w:val="24"/>
        </w:rPr>
      </w:pPr>
      <w:r>
        <w:rPr>
          <w:rFonts w:hint="eastAsia" w:ascii="仿宋" w:hAnsi="仿宋" w:eastAsia="仿宋"/>
          <w:sz w:val="24"/>
        </w:rPr>
        <w:t>8.一浴法退浆酵洗核心管控指标是（）</w:t>
      </w:r>
    </w:p>
    <w:p w14:paraId="2C65BBE0">
      <w:pPr>
        <w:spacing w:line="360" w:lineRule="auto"/>
        <w:rPr>
          <w:rFonts w:hint="eastAsia" w:ascii="仿宋" w:hAnsi="仿宋" w:eastAsia="仿宋"/>
          <w:sz w:val="24"/>
        </w:rPr>
      </w:pPr>
      <w:r>
        <w:rPr>
          <w:rFonts w:hint="eastAsia" w:ascii="仿宋" w:hAnsi="仿宋" w:eastAsia="仿宋"/>
          <w:sz w:val="24"/>
        </w:rPr>
        <w:t>A.浴比与pH缓冲体系B.设备转速C.成衣数量D.烘干时长</w:t>
      </w:r>
    </w:p>
    <w:p w14:paraId="610651F8">
      <w:pPr>
        <w:spacing w:line="360" w:lineRule="auto"/>
        <w:rPr>
          <w:rFonts w:hint="eastAsia" w:ascii="仿宋" w:hAnsi="仿宋" w:eastAsia="仿宋"/>
          <w:sz w:val="24"/>
        </w:rPr>
      </w:pPr>
      <w:r>
        <w:rPr>
          <w:rFonts w:hint="eastAsia" w:ascii="仿宋" w:hAnsi="仿宋" w:eastAsia="仿宋"/>
          <w:sz w:val="24"/>
        </w:rPr>
        <w:t>9.石磨洗泡沫工艺禁止添加（）</w:t>
      </w:r>
    </w:p>
    <w:p w14:paraId="4FA7E327">
      <w:pPr>
        <w:spacing w:line="360" w:lineRule="auto"/>
        <w:rPr>
          <w:rFonts w:hint="eastAsia" w:ascii="仿宋" w:hAnsi="仿宋" w:eastAsia="仿宋"/>
          <w:sz w:val="24"/>
        </w:rPr>
      </w:pPr>
      <w:r>
        <w:rPr>
          <w:rFonts w:hint="eastAsia" w:ascii="仿宋" w:hAnsi="仿宋" w:eastAsia="仿宋"/>
          <w:sz w:val="24"/>
        </w:rPr>
        <w:t>A.发泡剂B.防染剂C.消泡剂D.中性酶</w:t>
      </w:r>
    </w:p>
    <w:p w14:paraId="5F52C471">
      <w:pPr>
        <w:spacing w:line="360" w:lineRule="auto"/>
        <w:rPr>
          <w:rFonts w:hint="eastAsia" w:ascii="仿宋" w:hAnsi="仿宋" w:eastAsia="仿宋"/>
          <w:sz w:val="24"/>
        </w:rPr>
      </w:pPr>
      <w:r>
        <w:rPr>
          <w:rFonts w:hint="eastAsia" w:ascii="仿宋" w:hAnsi="仿宋" w:eastAsia="仿宋"/>
          <w:sz w:val="24"/>
        </w:rPr>
        <w:t>10.GB18401管控服装哪项安全指标（）</w:t>
      </w:r>
    </w:p>
    <w:p w14:paraId="1A6B0018">
      <w:pPr>
        <w:spacing w:line="360" w:lineRule="auto"/>
        <w:rPr>
          <w:rFonts w:hint="eastAsia" w:ascii="仿宋" w:hAnsi="仿宋" w:eastAsia="仿宋"/>
          <w:sz w:val="24"/>
        </w:rPr>
      </w:pPr>
      <w:r>
        <w:rPr>
          <w:rFonts w:hint="eastAsia" w:ascii="仿宋" w:hAnsi="仿宋" w:eastAsia="仿宋"/>
          <w:sz w:val="24"/>
          <w:highlight w:val="none"/>
        </w:rPr>
        <w:t>A.</w:t>
      </w:r>
      <w:r>
        <w:rPr>
          <w:rFonts w:hint="eastAsia" w:ascii="仿宋" w:hAnsi="仿宋" w:eastAsia="仿宋"/>
          <w:sz w:val="24"/>
          <w:highlight w:val="none"/>
          <w:lang w:eastAsia="zh-CN"/>
        </w:rPr>
        <w:t>水洗尺寸变化率</w:t>
      </w:r>
      <w:r>
        <w:rPr>
          <w:rFonts w:hint="eastAsia" w:ascii="仿宋" w:hAnsi="仿宋" w:eastAsia="仿宋"/>
          <w:sz w:val="24"/>
          <w:highlight w:val="none"/>
        </w:rPr>
        <w:t>B.甲醛、pH、异味</w:t>
      </w:r>
      <w:r>
        <w:rPr>
          <w:rFonts w:hint="eastAsia" w:ascii="仿宋" w:hAnsi="仿宋" w:eastAsia="仿宋"/>
          <w:sz w:val="24"/>
        </w:rPr>
        <w:t>C.布料克重D.弹力伸长率</w:t>
      </w:r>
    </w:p>
    <w:p w14:paraId="535DFA83">
      <w:pPr>
        <w:spacing w:line="360" w:lineRule="auto"/>
        <w:rPr>
          <w:rFonts w:hint="eastAsia" w:ascii="仿宋" w:hAnsi="仿宋" w:eastAsia="仿宋"/>
          <w:b/>
          <w:bCs/>
          <w:sz w:val="24"/>
        </w:rPr>
      </w:pPr>
      <w:r>
        <w:rPr>
          <w:rFonts w:hint="eastAsia" w:ascii="仿宋" w:hAnsi="仿宋" w:eastAsia="仿宋"/>
          <w:b/>
          <w:bCs/>
          <w:sz w:val="24"/>
        </w:rPr>
        <w:t>（二）判断题（节选10道）</w:t>
      </w:r>
    </w:p>
    <w:p w14:paraId="31A062DC">
      <w:pPr>
        <w:spacing w:line="360" w:lineRule="auto"/>
        <w:rPr>
          <w:rFonts w:hint="eastAsia" w:ascii="仿宋" w:hAnsi="仿宋" w:eastAsia="仿宋"/>
          <w:sz w:val="24"/>
        </w:rPr>
      </w:pPr>
      <w:r>
        <w:rPr>
          <w:rFonts w:hint="eastAsia" w:ascii="仿宋" w:hAnsi="仿宋" w:eastAsia="仿宋"/>
          <w:sz w:val="24"/>
        </w:rPr>
        <w:t>1.酵素洗可同时完成退浆与成衣做旧，一浴法能节水节能。（</w:t>
      </w:r>
      <w:r>
        <w:rPr>
          <w:rFonts w:hint="eastAsia" w:ascii="仿宋" w:hAnsi="仿宋" w:eastAsia="仿宋"/>
          <w:sz w:val="24"/>
          <w:lang w:val="en-US" w:eastAsia="zh-CN"/>
        </w:rPr>
        <w:t xml:space="preserve"> </w:t>
      </w:r>
      <w:r>
        <w:rPr>
          <w:rFonts w:hint="eastAsia" w:ascii="仿宋" w:hAnsi="仿宋" w:eastAsia="仿宋"/>
          <w:sz w:val="24"/>
        </w:rPr>
        <w:t>）</w:t>
      </w:r>
    </w:p>
    <w:p w14:paraId="0E399342">
      <w:pPr>
        <w:spacing w:line="360" w:lineRule="auto"/>
        <w:rPr>
          <w:rFonts w:hint="eastAsia" w:ascii="仿宋" w:hAnsi="仿宋" w:eastAsia="仿宋"/>
          <w:sz w:val="24"/>
        </w:rPr>
      </w:pPr>
      <w:r>
        <w:rPr>
          <w:rFonts w:hint="eastAsia" w:ascii="仿宋" w:hAnsi="仿宋" w:eastAsia="仿宋"/>
          <w:sz w:val="24"/>
        </w:rPr>
        <w:t>2.脱水机未完全停止转动时，可以伸手取放服装。（</w:t>
      </w:r>
      <w:r>
        <w:rPr>
          <w:rFonts w:hint="eastAsia" w:ascii="仿宋" w:hAnsi="仿宋" w:eastAsia="仿宋"/>
          <w:sz w:val="24"/>
          <w:lang w:val="en-US" w:eastAsia="zh-CN"/>
        </w:rPr>
        <w:t xml:space="preserve"> </w:t>
      </w:r>
      <w:r>
        <w:rPr>
          <w:rFonts w:hint="eastAsia" w:ascii="仿宋" w:hAnsi="仿宋" w:eastAsia="仿宋"/>
          <w:sz w:val="24"/>
        </w:rPr>
        <w:t>）</w:t>
      </w:r>
    </w:p>
    <w:p w14:paraId="6CC47A5D">
      <w:pPr>
        <w:spacing w:line="360" w:lineRule="auto"/>
        <w:rPr>
          <w:rFonts w:hint="eastAsia" w:ascii="仿宋" w:hAnsi="仿宋" w:eastAsia="仿宋"/>
          <w:sz w:val="24"/>
        </w:rPr>
      </w:pPr>
      <w:r>
        <w:rPr>
          <w:rFonts w:hint="eastAsia" w:ascii="仿宋" w:hAnsi="仿宋" w:eastAsia="仿宋"/>
          <w:sz w:val="24"/>
        </w:rPr>
        <w:t>3.中性纤维素酶pH适用范围比酸性酶更广。（</w:t>
      </w:r>
      <w:r>
        <w:rPr>
          <w:rFonts w:hint="eastAsia" w:ascii="仿宋" w:hAnsi="仿宋" w:eastAsia="仿宋"/>
          <w:sz w:val="24"/>
          <w:lang w:val="en-US" w:eastAsia="zh-CN"/>
        </w:rPr>
        <w:t xml:space="preserve"> </w:t>
      </w:r>
      <w:r>
        <w:rPr>
          <w:rFonts w:hint="eastAsia" w:ascii="仿宋" w:hAnsi="仿宋" w:eastAsia="仿宋"/>
          <w:sz w:val="24"/>
        </w:rPr>
        <w:t>）</w:t>
      </w:r>
    </w:p>
    <w:p w14:paraId="6D2ADD8D">
      <w:pPr>
        <w:spacing w:line="360" w:lineRule="auto"/>
        <w:rPr>
          <w:rFonts w:hint="eastAsia" w:ascii="仿宋" w:hAnsi="仿宋" w:eastAsia="仿宋"/>
          <w:sz w:val="24"/>
        </w:rPr>
      </w:pPr>
      <w:r>
        <w:rPr>
          <w:rFonts w:hint="eastAsia" w:ascii="仿宋" w:hAnsi="仿宋" w:eastAsia="仿宋"/>
          <w:sz w:val="24"/>
        </w:rPr>
        <w:t>4.不同类型酸碱助剂可混合同一化料桶溶解。（</w:t>
      </w:r>
      <w:r>
        <w:rPr>
          <w:rFonts w:hint="eastAsia" w:ascii="仿宋" w:hAnsi="仿宋" w:eastAsia="仿宋"/>
          <w:sz w:val="24"/>
          <w:lang w:val="en-US" w:eastAsia="zh-CN"/>
        </w:rPr>
        <w:t xml:space="preserve"> </w:t>
      </w:r>
      <w:r>
        <w:rPr>
          <w:rFonts w:hint="eastAsia" w:ascii="仿宋" w:hAnsi="仿宋" w:eastAsia="仿宋"/>
          <w:sz w:val="24"/>
        </w:rPr>
        <w:t>）</w:t>
      </w:r>
    </w:p>
    <w:p w14:paraId="308FF2C0">
      <w:pPr>
        <w:spacing w:line="360" w:lineRule="auto"/>
        <w:rPr>
          <w:rFonts w:hint="eastAsia" w:ascii="仿宋" w:hAnsi="仿宋" w:eastAsia="仿宋"/>
          <w:sz w:val="24"/>
        </w:rPr>
      </w:pPr>
      <w:r>
        <w:rPr>
          <w:rFonts w:hint="eastAsia" w:ascii="仿宋" w:hAnsi="仿宋" w:eastAsia="仿宋"/>
          <w:sz w:val="24"/>
        </w:rPr>
        <w:t>5.洗水对样时仅需烘干对比，无需清水湿板对照。（</w:t>
      </w:r>
      <w:r>
        <w:rPr>
          <w:rFonts w:hint="eastAsia" w:ascii="仿宋" w:hAnsi="仿宋" w:eastAsia="仿宋"/>
          <w:sz w:val="24"/>
          <w:lang w:val="en-US" w:eastAsia="zh-CN"/>
        </w:rPr>
        <w:t xml:space="preserve"> </w:t>
      </w:r>
      <w:r>
        <w:rPr>
          <w:rFonts w:hint="eastAsia" w:ascii="仿宋" w:hAnsi="仿宋" w:eastAsia="仿宋"/>
          <w:sz w:val="24"/>
        </w:rPr>
        <w:t>）</w:t>
      </w:r>
    </w:p>
    <w:p w14:paraId="45416F11">
      <w:pPr>
        <w:spacing w:line="360" w:lineRule="auto"/>
        <w:rPr>
          <w:rFonts w:hint="eastAsia" w:ascii="仿宋" w:hAnsi="仿宋" w:eastAsia="仿宋"/>
          <w:sz w:val="24"/>
        </w:rPr>
      </w:pPr>
      <w:r>
        <w:rPr>
          <w:rFonts w:hint="eastAsia" w:ascii="仿宋" w:hAnsi="仿宋" w:eastAsia="仿宋"/>
          <w:sz w:val="24"/>
        </w:rPr>
        <w:t>6.浮石长期使用磨损后残石统一回收，不得随意丢弃。（</w:t>
      </w:r>
      <w:r>
        <w:rPr>
          <w:rFonts w:hint="eastAsia" w:ascii="仿宋" w:hAnsi="仿宋" w:eastAsia="仿宋"/>
          <w:sz w:val="24"/>
          <w:lang w:val="en-US" w:eastAsia="zh-CN"/>
        </w:rPr>
        <w:t xml:space="preserve"> </w:t>
      </w:r>
      <w:r>
        <w:rPr>
          <w:rFonts w:hint="eastAsia" w:ascii="仿宋" w:hAnsi="仿宋" w:eastAsia="仿宋"/>
          <w:sz w:val="24"/>
        </w:rPr>
        <w:t>）</w:t>
      </w:r>
    </w:p>
    <w:p w14:paraId="30B094C8">
      <w:pPr>
        <w:spacing w:line="360" w:lineRule="auto"/>
        <w:rPr>
          <w:rFonts w:hint="eastAsia" w:ascii="仿宋" w:hAnsi="仿宋" w:eastAsia="仿宋"/>
          <w:sz w:val="24"/>
        </w:rPr>
      </w:pPr>
      <w:r>
        <w:rPr>
          <w:rFonts w:hint="eastAsia" w:ascii="仿宋" w:hAnsi="仿宋" w:eastAsia="仿宋"/>
          <w:sz w:val="24"/>
        </w:rPr>
        <w:t>7.弹力牛仔长时间高温酵洗不会出现断弹疵点。（</w:t>
      </w:r>
      <w:r>
        <w:rPr>
          <w:rFonts w:hint="eastAsia" w:ascii="仿宋" w:hAnsi="仿宋" w:eastAsia="仿宋"/>
          <w:sz w:val="24"/>
          <w:lang w:val="en-US" w:eastAsia="zh-CN"/>
        </w:rPr>
        <w:t xml:space="preserve"> </w:t>
      </w:r>
      <w:r>
        <w:rPr>
          <w:rFonts w:hint="eastAsia" w:ascii="仿宋" w:hAnsi="仿宋" w:eastAsia="仿宋"/>
          <w:sz w:val="24"/>
        </w:rPr>
        <w:t>）</w:t>
      </w:r>
    </w:p>
    <w:p w14:paraId="3CBBC584">
      <w:pPr>
        <w:spacing w:line="360" w:lineRule="auto"/>
        <w:rPr>
          <w:rFonts w:hint="eastAsia" w:ascii="仿宋" w:hAnsi="仿宋" w:eastAsia="仿宋"/>
          <w:sz w:val="24"/>
        </w:rPr>
      </w:pPr>
      <w:r>
        <w:rPr>
          <w:rFonts w:hint="eastAsia" w:ascii="仿宋" w:hAnsi="仿宋" w:eastAsia="仿宋"/>
          <w:sz w:val="24"/>
        </w:rPr>
        <w:t>8.竞赛手机存放至指定保管区，带入工位按作弊扣20%总分。（</w:t>
      </w:r>
      <w:r>
        <w:rPr>
          <w:rFonts w:hint="eastAsia" w:ascii="仿宋" w:hAnsi="仿宋" w:eastAsia="仿宋"/>
          <w:sz w:val="24"/>
          <w:lang w:val="en-US" w:eastAsia="zh-CN"/>
        </w:rPr>
        <w:t xml:space="preserve"> </w:t>
      </w:r>
      <w:r>
        <w:rPr>
          <w:rFonts w:hint="eastAsia" w:ascii="仿宋" w:hAnsi="仿宋" w:eastAsia="仿宋"/>
          <w:sz w:val="24"/>
        </w:rPr>
        <w:t>）</w:t>
      </w:r>
    </w:p>
    <w:p w14:paraId="37439AB0">
      <w:pPr>
        <w:spacing w:line="360" w:lineRule="auto"/>
        <w:rPr>
          <w:rFonts w:hint="eastAsia" w:ascii="仿宋" w:hAnsi="仿宋" w:eastAsia="仿宋"/>
          <w:sz w:val="24"/>
        </w:rPr>
      </w:pPr>
      <w:r>
        <w:rPr>
          <w:rFonts w:hint="eastAsia" w:ascii="仿宋" w:hAnsi="仿宋" w:eastAsia="仿宋"/>
          <w:sz w:val="24"/>
        </w:rPr>
        <w:t>9.漂洗工序不足会造成成衣大面积返染、白斑。（</w:t>
      </w:r>
      <w:r>
        <w:rPr>
          <w:rFonts w:hint="eastAsia" w:ascii="仿宋" w:hAnsi="仿宋" w:eastAsia="仿宋"/>
          <w:sz w:val="24"/>
          <w:lang w:val="en-US" w:eastAsia="zh-CN"/>
        </w:rPr>
        <w:t xml:space="preserve"> </w:t>
      </w:r>
      <w:r>
        <w:rPr>
          <w:rFonts w:hint="eastAsia" w:ascii="仿宋" w:hAnsi="仿宋" w:eastAsia="仿宋"/>
          <w:sz w:val="24"/>
        </w:rPr>
        <w:t>）</w:t>
      </w:r>
    </w:p>
    <w:p w14:paraId="696D60C4">
      <w:pPr>
        <w:spacing w:line="360" w:lineRule="auto"/>
        <w:rPr>
          <w:rFonts w:hint="eastAsia" w:ascii="仿宋" w:hAnsi="仿宋" w:eastAsia="仿宋"/>
          <w:sz w:val="24"/>
        </w:rPr>
      </w:pPr>
      <w:r>
        <w:rPr>
          <w:rFonts w:hint="eastAsia" w:ascii="仿宋" w:hAnsi="仿宋" w:eastAsia="仿宋"/>
          <w:sz w:val="24"/>
        </w:rPr>
        <w:t>10.设备故障属于选手操作失误，不予补时。（</w:t>
      </w:r>
      <w:r>
        <w:rPr>
          <w:rFonts w:hint="eastAsia" w:ascii="仿宋" w:hAnsi="仿宋" w:eastAsia="仿宋"/>
          <w:sz w:val="24"/>
          <w:lang w:val="en-US" w:eastAsia="zh-CN"/>
        </w:rPr>
        <w:t xml:space="preserve"> </w:t>
      </w:r>
      <w:r>
        <w:rPr>
          <w:rFonts w:hint="eastAsia" w:ascii="仿宋" w:hAnsi="仿宋" w:eastAsia="仿宋"/>
          <w:sz w:val="24"/>
        </w:rPr>
        <w:t>）</w:t>
      </w:r>
    </w:p>
    <w:p w14:paraId="62A5B393">
      <w:pPr>
        <w:spacing w:line="360" w:lineRule="auto"/>
        <w:rPr>
          <w:rFonts w:hint="eastAsia" w:ascii="仿宋" w:hAnsi="仿宋" w:eastAsia="仿宋"/>
          <w:sz w:val="24"/>
        </w:rPr>
      </w:pPr>
      <w:r>
        <w:rPr>
          <w:rFonts w:hint="eastAsia" w:ascii="仿宋" w:hAnsi="仿宋" w:eastAsia="仿宋"/>
          <w:sz w:val="24"/>
        </w:rPr>
        <w:t>（三）三级（高级）能力补充样题（设备维护）</w:t>
      </w:r>
    </w:p>
    <w:p w14:paraId="7522754C">
      <w:pPr>
        <w:spacing w:line="360" w:lineRule="auto"/>
        <w:rPr>
          <w:rFonts w:hint="eastAsia" w:ascii="仿宋" w:hAnsi="仿宋" w:eastAsia="仿宋"/>
          <w:sz w:val="24"/>
        </w:rPr>
      </w:pPr>
      <w:r>
        <w:rPr>
          <w:rFonts w:hint="eastAsia" w:ascii="仿宋" w:hAnsi="仿宋" w:eastAsia="仿宋"/>
          <w:sz w:val="24"/>
        </w:rPr>
        <w:t>11.洗脱一体机单次水洗容量一般按设备额定容量的（</w:t>
      </w:r>
      <w:r>
        <w:rPr>
          <w:rFonts w:hint="eastAsia" w:ascii="仿宋" w:hAnsi="仿宋" w:eastAsia="仿宋"/>
          <w:sz w:val="24"/>
          <w:lang w:val="en-US" w:eastAsia="zh-CN"/>
        </w:rPr>
        <w:t xml:space="preserve"> </w:t>
      </w:r>
      <w:r>
        <w:rPr>
          <w:rFonts w:hint="eastAsia" w:ascii="仿宋" w:hAnsi="仿宋" w:eastAsia="仿宋"/>
          <w:sz w:val="24"/>
        </w:rPr>
        <w:t>）计算。</w:t>
      </w:r>
    </w:p>
    <w:p w14:paraId="0F96A74F">
      <w:pPr>
        <w:spacing w:line="360" w:lineRule="auto"/>
        <w:rPr>
          <w:rFonts w:hint="eastAsia" w:ascii="仿宋" w:hAnsi="仿宋" w:eastAsia="仿宋"/>
          <w:sz w:val="24"/>
        </w:rPr>
      </w:pPr>
      <w:r>
        <w:rPr>
          <w:rFonts w:hint="eastAsia" w:ascii="仿宋" w:hAnsi="仿宋" w:eastAsia="仿宋"/>
          <w:sz w:val="24"/>
        </w:rPr>
        <w:t>A.50%~60%B.60%~80%C.90%以上D.100%</w:t>
      </w:r>
    </w:p>
    <w:p w14:paraId="5817FB0C">
      <w:pPr>
        <w:spacing w:line="360" w:lineRule="auto"/>
        <w:rPr>
          <w:rFonts w:hint="eastAsia" w:ascii="仿宋" w:hAnsi="仿宋" w:eastAsia="仿宋"/>
          <w:sz w:val="24"/>
        </w:rPr>
      </w:pPr>
      <w:r>
        <w:rPr>
          <w:rFonts w:hint="eastAsia" w:ascii="仿宋" w:hAnsi="仿宋" w:eastAsia="仿宋"/>
          <w:sz w:val="24"/>
        </w:rPr>
        <w:t>12.对洗水设备进行日常点检保养，正确的做法是（</w:t>
      </w:r>
      <w:r>
        <w:rPr>
          <w:rFonts w:hint="eastAsia" w:ascii="仿宋" w:hAnsi="仿宋" w:eastAsia="仿宋"/>
          <w:sz w:val="24"/>
          <w:lang w:val="en-US" w:eastAsia="zh-CN"/>
        </w:rPr>
        <w:t xml:space="preserve"> </w:t>
      </w:r>
      <w:r>
        <w:rPr>
          <w:rFonts w:hint="eastAsia" w:ascii="仿宋" w:hAnsi="仿宋" w:eastAsia="仿宋"/>
          <w:sz w:val="24"/>
        </w:rPr>
        <w:t>）。</w:t>
      </w:r>
    </w:p>
    <w:p w14:paraId="64715F5F">
      <w:pPr>
        <w:spacing w:line="360" w:lineRule="auto"/>
        <w:rPr>
          <w:rFonts w:hint="eastAsia" w:ascii="仿宋" w:hAnsi="仿宋" w:eastAsia="仿宋"/>
          <w:sz w:val="24"/>
        </w:rPr>
      </w:pPr>
      <w:r>
        <w:rPr>
          <w:rFonts w:hint="eastAsia" w:ascii="仿宋" w:hAnsi="仿宋" w:eastAsia="仿宋"/>
          <w:sz w:val="24"/>
        </w:rPr>
        <w:t>A.设备运行中直接检查B.停机断电后按点检表逐项检查C.故障发生后再检查D.仅口头确认</w:t>
      </w:r>
    </w:p>
    <w:p w14:paraId="3F7A42D7">
      <w:pPr>
        <w:spacing w:line="360" w:lineRule="auto"/>
        <w:rPr>
          <w:rFonts w:hint="eastAsia" w:ascii="仿宋" w:hAnsi="仿宋" w:eastAsia="仿宋"/>
          <w:sz w:val="24"/>
        </w:rPr>
      </w:pPr>
      <w:r>
        <w:rPr>
          <w:rFonts w:hint="eastAsia" w:ascii="仿宋" w:hAnsi="仿宋" w:eastAsia="仿宋"/>
          <w:sz w:val="24"/>
        </w:rPr>
        <w:t>13.水洗设备运行中出现持续异响，正确的处理是（</w:t>
      </w:r>
      <w:r>
        <w:rPr>
          <w:rFonts w:hint="eastAsia" w:ascii="仿宋" w:hAnsi="仿宋" w:eastAsia="仿宋"/>
          <w:sz w:val="24"/>
          <w:lang w:val="en-US" w:eastAsia="zh-CN"/>
        </w:rPr>
        <w:t xml:space="preserve"> </w:t>
      </w:r>
      <w:r>
        <w:rPr>
          <w:rFonts w:hint="eastAsia" w:ascii="仿宋" w:hAnsi="仿宋" w:eastAsia="仿宋"/>
          <w:sz w:val="24"/>
        </w:rPr>
        <w:t>）。</w:t>
      </w:r>
    </w:p>
    <w:p w14:paraId="479DBCD2">
      <w:pPr>
        <w:spacing w:line="360" w:lineRule="auto"/>
        <w:rPr>
          <w:rFonts w:hint="eastAsia" w:ascii="仿宋" w:hAnsi="仿宋" w:eastAsia="仿宋"/>
          <w:sz w:val="24"/>
        </w:rPr>
      </w:pPr>
      <w:r>
        <w:rPr>
          <w:rFonts w:hint="eastAsia" w:ascii="仿宋" w:hAnsi="仿宋" w:eastAsia="仿宋"/>
          <w:sz w:val="24"/>
        </w:rPr>
        <w:t>A.继续运行观察B.立即停机报修并记录C.提高转速消除异响D.自行拆卸检查</w:t>
      </w:r>
    </w:p>
    <w:p w14:paraId="459AFB1A">
      <w:pPr>
        <w:spacing w:line="360" w:lineRule="auto"/>
        <w:rPr>
          <w:rFonts w:hint="eastAsia" w:ascii="仿宋" w:hAnsi="仿宋" w:eastAsia="仿宋"/>
          <w:sz w:val="24"/>
        </w:rPr>
      </w:pPr>
      <w:r>
        <w:rPr>
          <w:rFonts w:hint="eastAsia" w:ascii="仿宋" w:hAnsi="仿宋" w:eastAsia="仿宋"/>
          <w:sz w:val="24"/>
        </w:rPr>
        <w:t>14.下列属于设备控制面板可直接读取数据的是（</w:t>
      </w:r>
      <w:r>
        <w:rPr>
          <w:rFonts w:hint="eastAsia" w:ascii="仿宋" w:hAnsi="仿宋" w:eastAsia="仿宋"/>
          <w:sz w:val="24"/>
          <w:lang w:val="en-US" w:eastAsia="zh-CN"/>
        </w:rPr>
        <w:t xml:space="preserve"> </w:t>
      </w:r>
      <w:r>
        <w:rPr>
          <w:rFonts w:hint="eastAsia" w:ascii="仿宋" w:hAnsi="仿宋" w:eastAsia="仿宋"/>
          <w:sz w:val="24"/>
        </w:rPr>
        <w:t>）。</w:t>
      </w:r>
    </w:p>
    <w:p w14:paraId="37FECE73">
      <w:pPr>
        <w:spacing w:line="360" w:lineRule="auto"/>
        <w:rPr>
          <w:rFonts w:hint="eastAsia" w:ascii="仿宋" w:hAnsi="仿宋" w:eastAsia="仿宋"/>
          <w:sz w:val="24"/>
        </w:rPr>
      </w:pPr>
      <w:r>
        <w:rPr>
          <w:rFonts w:hint="eastAsia" w:ascii="仿宋" w:hAnsi="仿宋" w:eastAsia="仿宋"/>
          <w:sz w:val="24"/>
        </w:rPr>
        <w:t>A.</w:t>
      </w:r>
      <w:r>
        <w:rPr>
          <w:rFonts w:hint="eastAsia" w:ascii="仿宋" w:hAnsi="仿宋" w:eastAsia="仿宋"/>
          <w:sz w:val="24"/>
          <w:lang w:eastAsia="zh-CN"/>
        </w:rPr>
        <w:t>水位</w:t>
      </w:r>
      <w:r>
        <w:rPr>
          <w:rFonts w:hint="eastAsia" w:ascii="仿宋" w:hAnsi="仿宋" w:eastAsia="仿宋"/>
          <w:sz w:val="24"/>
        </w:rPr>
        <w:t>、温度、</w:t>
      </w:r>
      <w:r>
        <w:rPr>
          <w:rFonts w:hint="eastAsia" w:ascii="仿宋" w:hAnsi="仿宋" w:eastAsia="仿宋"/>
          <w:sz w:val="24"/>
          <w:lang w:eastAsia="zh-CN"/>
        </w:rPr>
        <w:t>时间</w:t>
      </w:r>
      <w:r>
        <w:rPr>
          <w:rFonts w:hint="eastAsia" w:ascii="仿宋" w:hAnsi="仿宋" w:eastAsia="仿宋"/>
          <w:sz w:val="24"/>
        </w:rPr>
        <w:t>B.面料克重C.染化料批号D.客户样板</w:t>
      </w:r>
    </w:p>
    <w:p w14:paraId="7FADF585">
      <w:pPr>
        <w:spacing w:line="360" w:lineRule="auto"/>
        <w:rPr>
          <w:rFonts w:hint="eastAsia" w:ascii="仿宋" w:hAnsi="仿宋" w:eastAsia="仿宋"/>
          <w:sz w:val="24"/>
        </w:rPr>
      </w:pPr>
      <w:r>
        <w:rPr>
          <w:rFonts w:hint="eastAsia" w:ascii="仿宋" w:hAnsi="仿宋" w:eastAsia="仿宋"/>
          <w:sz w:val="24"/>
        </w:rPr>
        <w:t>15.装载过满会直接影响洗涤效果并损伤设备，单次水洗容量需按设备额定容量与装填系数计算。（</w:t>
      </w:r>
      <w:r>
        <w:rPr>
          <w:rFonts w:hint="eastAsia" w:ascii="仿宋" w:hAnsi="仿宋" w:eastAsia="仿宋"/>
          <w:sz w:val="24"/>
          <w:lang w:val="en-US" w:eastAsia="zh-CN"/>
        </w:rPr>
        <w:t xml:space="preserve"> </w:t>
      </w:r>
      <w:r>
        <w:rPr>
          <w:rFonts w:hint="eastAsia" w:ascii="仿宋" w:hAnsi="仿宋" w:eastAsia="仿宋"/>
          <w:sz w:val="24"/>
        </w:rPr>
        <w:t>）</w:t>
      </w:r>
    </w:p>
    <w:p w14:paraId="5140C756">
      <w:pPr>
        <w:spacing w:line="360" w:lineRule="auto"/>
        <w:rPr>
          <w:rFonts w:hint="eastAsia" w:ascii="仿宋" w:hAnsi="仿宋" w:eastAsia="仿宋"/>
          <w:sz w:val="24"/>
        </w:rPr>
      </w:pPr>
      <w:r>
        <w:rPr>
          <w:rFonts w:hint="eastAsia" w:ascii="仿宋" w:hAnsi="仿宋" w:eastAsia="仿宋"/>
          <w:sz w:val="24"/>
        </w:rPr>
        <w:t>16.设备维护保养应在设备出现故障后进行，正常运行的设备无需定期保养。（</w:t>
      </w:r>
      <w:r>
        <w:rPr>
          <w:rFonts w:hint="eastAsia" w:ascii="仿宋" w:hAnsi="仿宋" w:eastAsia="仿宋"/>
          <w:sz w:val="24"/>
          <w:lang w:val="en-US" w:eastAsia="zh-CN"/>
        </w:rPr>
        <w:t xml:space="preserve"> </w:t>
      </w:r>
      <w:r>
        <w:rPr>
          <w:rFonts w:hint="eastAsia" w:ascii="仿宋" w:hAnsi="仿宋" w:eastAsia="仿宋"/>
          <w:sz w:val="24"/>
        </w:rPr>
        <w:t>）</w:t>
      </w:r>
    </w:p>
    <w:p w14:paraId="3FB54637">
      <w:pPr>
        <w:spacing w:line="360" w:lineRule="auto"/>
        <w:rPr>
          <w:rFonts w:hint="eastAsia" w:ascii="仿宋" w:hAnsi="仿宋" w:eastAsia="仿宋"/>
          <w:sz w:val="24"/>
        </w:rPr>
      </w:pPr>
      <w:r>
        <w:rPr>
          <w:rFonts w:hint="eastAsia" w:ascii="仿宋" w:hAnsi="仿宋" w:eastAsia="仿宋"/>
          <w:sz w:val="24"/>
        </w:rPr>
        <w:t>17.读取分析设备控制面板数据有助于及时发现运行异常，减少质量波动。（</w:t>
      </w:r>
      <w:r>
        <w:rPr>
          <w:rFonts w:hint="eastAsia" w:ascii="仿宋" w:hAnsi="仿宋" w:eastAsia="仿宋"/>
          <w:sz w:val="24"/>
          <w:lang w:val="en-US" w:eastAsia="zh-CN"/>
        </w:rPr>
        <w:t xml:space="preserve"> </w:t>
      </w:r>
      <w:r>
        <w:rPr>
          <w:rFonts w:hint="eastAsia" w:ascii="仿宋" w:hAnsi="仿宋" w:eastAsia="仿宋"/>
          <w:sz w:val="24"/>
        </w:rPr>
        <w:t>）</w:t>
      </w:r>
    </w:p>
    <w:p w14:paraId="1A57A4AA">
      <w:pPr>
        <w:spacing w:line="360" w:lineRule="auto"/>
        <w:rPr>
          <w:rFonts w:hint="eastAsia" w:ascii="仿宋" w:hAnsi="仿宋" w:eastAsia="仿宋"/>
          <w:b/>
          <w:bCs/>
          <w:sz w:val="24"/>
        </w:rPr>
      </w:pPr>
      <w:r>
        <w:rPr>
          <w:rFonts w:hint="eastAsia" w:ascii="仿宋" w:hAnsi="仿宋" w:eastAsia="仿宋"/>
          <w:b/>
          <w:bCs/>
          <w:sz w:val="24"/>
        </w:rPr>
        <w:t>二、理论考试作答要求</w:t>
      </w:r>
    </w:p>
    <w:p w14:paraId="3E536DFA">
      <w:pPr>
        <w:spacing w:line="360" w:lineRule="auto"/>
        <w:rPr>
          <w:rFonts w:hint="eastAsia" w:ascii="仿宋" w:hAnsi="仿宋" w:eastAsia="仿宋"/>
          <w:sz w:val="24"/>
        </w:rPr>
      </w:pPr>
      <w:r>
        <w:rPr>
          <w:rFonts w:hint="eastAsia" w:ascii="仿宋" w:hAnsi="仿宋" w:eastAsia="仿宋"/>
          <w:sz w:val="24"/>
        </w:rPr>
        <w:t>1.姓名、工位号、选手证号填写完整，漏填试卷无效；</w:t>
      </w:r>
    </w:p>
    <w:p w14:paraId="6D3A8611">
      <w:pPr>
        <w:spacing w:line="360" w:lineRule="auto"/>
        <w:rPr>
          <w:rFonts w:hint="eastAsia" w:ascii="仿宋" w:hAnsi="仿宋" w:eastAsia="仿宋"/>
          <w:sz w:val="24"/>
        </w:rPr>
      </w:pPr>
      <w:r>
        <w:rPr>
          <w:rFonts w:hint="eastAsia" w:ascii="仿宋" w:hAnsi="仿宋" w:eastAsia="仿宋"/>
          <w:sz w:val="24"/>
        </w:rPr>
        <w:t>2.选择、判断题全部使用2B铅笔填涂答题卡；</w:t>
      </w:r>
    </w:p>
    <w:p w14:paraId="1E084DE1">
      <w:pPr>
        <w:spacing w:line="360" w:lineRule="auto"/>
        <w:rPr>
          <w:rFonts w:hint="eastAsia" w:ascii="仿宋" w:hAnsi="仿宋" w:eastAsia="仿宋"/>
          <w:b/>
          <w:bCs/>
          <w:sz w:val="30"/>
          <w:szCs w:val="30"/>
        </w:rPr>
      </w:pPr>
      <w:r>
        <w:rPr>
          <w:rFonts w:hint="eastAsia" w:ascii="仿宋" w:hAnsi="仿宋" w:eastAsia="仿宋"/>
          <w:sz w:val="24"/>
        </w:rPr>
        <w:t>3.考试结束哨响立即停笔，试卷、答题卡一并上交，不得涂改带走。</w:t>
      </w:r>
    </w:p>
    <w:p w14:paraId="407D2634">
      <w:pPr>
        <w:spacing w:line="360" w:lineRule="auto"/>
        <w:rPr>
          <w:rFonts w:hint="eastAsia" w:ascii="仿宋" w:hAnsi="仿宋" w:eastAsia="仿宋"/>
          <w:b/>
          <w:bCs/>
          <w:sz w:val="30"/>
          <w:szCs w:val="30"/>
        </w:rPr>
      </w:pPr>
      <w:r>
        <w:rPr>
          <w:rFonts w:hint="eastAsia" w:ascii="仿宋" w:hAnsi="仿宋" w:eastAsia="仿宋"/>
          <w:b/>
          <w:bCs/>
          <w:sz w:val="30"/>
          <w:szCs w:val="30"/>
        </w:rPr>
        <w:t>第二部分实操模块A面料分检与化料配制试题（样题）</w:t>
      </w:r>
    </w:p>
    <w:p w14:paraId="222537E4">
      <w:pPr>
        <w:spacing w:line="360" w:lineRule="auto"/>
        <w:rPr>
          <w:rFonts w:hint="eastAsia" w:ascii="仿宋" w:hAnsi="仿宋" w:eastAsia="仿宋"/>
          <w:sz w:val="24"/>
        </w:rPr>
      </w:pPr>
      <w:r>
        <w:rPr>
          <w:rFonts w:hint="eastAsia" w:ascii="仿宋" w:hAnsi="仿宋" w:eastAsia="仿宋"/>
          <w:sz w:val="24"/>
        </w:rPr>
        <w:t>1试题基础信息</w:t>
      </w:r>
    </w:p>
    <w:p w14:paraId="48A7E5AF">
      <w:pPr>
        <w:spacing w:line="360" w:lineRule="auto"/>
        <w:rPr>
          <w:rFonts w:hint="eastAsia" w:ascii="仿宋" w:hAnsi="仿宋" w:eastAsia="仿宋"/>
          <w:sz w:val="24"/>
        </w:rPr>
      </w:pPr>
      <w:r>
        <w:rPr>
          <w:rFonts w:hint="eastAsia" w:ascii="仿宋" w:hAnsi="仿宋" w:eastAsia="仿宋"/>
          <w:sz w:val="24"/>
        </w:rPr>
        <w:t>•考核时长：</w:t>
      </w:r>
      <w:r>
        <w:rPr>
          <w:rFonts w:hint="eastAsia" w:ascii="仿宋" w:hAnsi="仿宋" w:eastAsia="仿宋"/>
          <w:sz w:val="24"/>
          <w:lang w:val="en-US" w:eastAsia="zh-CN"/>
        </w:rPr>
        <w:t>3</w:t>
      </w:r>
      <w:r>
        <w:rPr>
          <w:rFonts w:hint="eastAsia" w:ascii="仿宋" w:hAnsi="仿宋" w:eastAsia="仿宋"/>
          <w:sz w:val="24"/>
        </w:rPr>
        <w:t>0min，满分100分，折算决赛</w:t>
      </w:r>
      <w:r>
        <w:rPr>
          <w:rFonts w:hint="eastAsia" w:ascii="仿宋" w:hAnsi="仿宋" w:eastAsia="仿宋"/>
          <w:sz w:val="24"/>
          <w:lang w:val="en-US" w:eastAsia="zh-CN"/>
        </w:rPr>
        <w:t>3</w:t>
      </w:r>
      <w:r>
        <w:rPr>
          <w:rFonts w:hint="eastAsia" w:ascii="仿宋" w:hAnsi="仿宋" w:eastAsia="仿宋"/>
          <w:sz w:val="24"/>
        </w:rPr>
        <w:t>0分</w:t>
      </w:r>
    </w:p>
    <w:p w14:paraId="1F24363C">
      <w:pPr>
        <w:spacing w:line="360" w:lineRule="auto"/>
        <w:rPr>
          <w:rFonts w:hint="eastAsia" w:ascii="仿宋" w:hAnsi="仿宋" w:eastAsia="仿宋"/>
          <w:sz w:val="24"/>
        </w:rPr>
      </w:pPr>
      <w:r>
        <w:rPr>
          <w:rFonts w:hint="eastAsia" w:ascii="仿宋" w:hAnsi="仿宋" w:eastAsia="仿宋"/>
          <w:sz w:val="24"/>
        </w:rPr>
        <w:t>•考核物料：纯棉/弹力深浅牛仔样衣、全套洗水助剂、称量设备、pH计、量具</w:t>
      </w:r>
    </w:p>
    <w:p w14:paraId="48BE400E">
      <w:pPr>
        <w:spacing w:line="360" w:lineRule="auto"/>
        <w:rPr>
          <w:rFonts w:hint="eastAsia" w:ascii="仿宋" w:hAnsi="仿宋" w:eastAsia="仿宋"/>
          <w:sz w:val="24"/>
          <w:lang w:eastAsia="zh-CN"/>
        </w:rPr>
      </w:pPr>
      <w:r>
        <w:rPr>
          <w:rFonts w:hint="eastAsia" w:ascii="仿宋" w:hAnsi="仿宋" w:eastAsia="仿宋"/>
          <w:sz w:val="24"/>
        </w:rPr>
        <w:t>•考核任务：成衣分检分类、浆料识别、标准化料配制</w:t>
      </w:r>
      <w:r>
        <w:rPr>
          <w:rFonts w:hint="eastAsia" w:ascii="仿宋" w:hAnsi="仿宋" w:eastAsia="仿宋"/>
          <w:sz w:val="24"/>
          <w:lang w:eastAsia="zh-CN"/>
        </w:rPr>
        <w:t>。</w:t>
      </w:r>
    </w:p>
    <w:p w14:paraId="35D7E2A6">
      <w:pPr>
        <w:spacing w:line="360" w:lineRule="auto"/>
        <w:rPr>
          <w:rFonts w:hint="eastAsia" w:ascii="仿宋" w:hAnsi="仿宋" w:eastAsia="仿宋"/>
          <w:sz w:val="24"/>
        </w:rPr>
      </w:pPr>
      <w:r>
        <w:rPr>
          <w:rFonts w:hint="eastAsia" w:ascii="仿宋" w:hAnsi="仿宋" w:eastAsia="仿宋"/>
          <w:sz w:val="24"/>
        </w:rPr>
        <w:t>2实操任务要求</w:t>
      </w:r>
    </w:p>
    <w:p w14:paraId="0F86F658">
      <w:pPr>
        <w:spacing w:line="360" w:lineRule="auto"/>
        <w:rPr>
          <w:rFonts w:hint="eastAsia" w:ascii="仿宋" w:hAnsi="仿宋" w:eastAsia="仿宋"/>
          <w:sz w:val="24"/>
        </w:rPr>
      </w:pPr>
      <w:r>
        <w:rPr>
          <w:rFonts w:hint="eastAsia" w:ascii="仿宋" w:hAnsi="仿宋" w:eastAsia="仿宋"/>
          <w:sz w:val="24"/>
        </w:rPr>
        <w:t>任务1：成衣分检分色（40分）</w:t>
      </w:r>
    </w:p>
    <w:p w14:paraId="0209CBD8">
      <w:pPr>
        <w:spacing w:line="360" w:lineRule="auto"/>
        <w:rPr>
          <w:rFonts w:hint="eastAsia" w:ascii="仿宋" w:hAnsi="仿宋" w:eastAsia="仿宋"/>
          <w:sz w:val="24"/>
        </w:rPr>
      </w:pPr>
      <w:r>
        <w:rPr>
          <w:rFonts w:hint="eastAsia" w:ascii="仿宋" w:hAnsi="仿宋" w:eastAsia="仿宋"/>
          <w:sz w:val="24"/>
        </w:rPr>
        <w:t>1.提供12件混批牛仔样衣，包含深色、中色、浅色，纯棉/弹力各半，含破损、色差疵品；</w:t>
      </w:r>
    </w:p>
    <w:p w14:paraId="1C3076C4">
      <w:pPr>
        <w:spacing w:line="360" w:lineRule="auto"/>
        <w:rPr>
          <w:rFonts w:hint="eastAsia" w:ascii="仿宋" w:hAnsi="仿宋" w:eastAsia="仿宋"/>
          <w:sz w:val="24"/>
        </w:rPr>
      </w:pPr>
      <w:r>
        <w:rPr>
          <w:rFonts w:hint="eastAsia" w:ascii="仿宋" w:hAnsi="仿宋" w:eastAsia="仿宋"/>
          <w:sz w:val="24"/>
        </w:rPr>
        <w:t>2.按色系、面料材质分3类摆放，张贴标识；疵品单独隔离存放；</w:t>
      </w:r>
    </w:p>
    <w:p w14:paraId="6AFB505E">
      <w:pPr>
        <w:spacing w:line="360" w:lineRule="auto"/>
        <w:rPr>
          <w:rFonts w:hint="eastAsia" w:ascii="仿宋" w:hAnsi="仿宋" w:eastAsia="仿宋"/>
          <w:sz w:val="24"/>
        </w:rPr>
      </w:pPr>
      <w:r>
        <w:rPr>
          <w:rFonts w:hint="eastAsia" w:ascii="仿宋" w:hAnsi="仿宋" w:eastAsia="仿宋"/>
          <w:sz w:val="24"/>
        </w:rPr>
        <w:t>3.识别每件面料</w:t>
      </w:r>
      <w:r>
        <w:rPr>
          <w:rFonts w:hint="eastAsia" w:ascii="仿宋" w:hAnsi="仿宋" w:eastAsia="仿宋"/>
          <w:sz w:val="24"/>
          <w:lang w:eastAsia="zh-CN"/>
        </w:rPr>
        <w:t>样板目标</w:t>
      </w:r>
      <w:r>
        <w:rPr>
          <w:rFonts w:hint="eastAsia" w:ascii="仿宋" w:hAnsi="仿宋" w:eastAsia="仿宋"/>
          <w:sz w:val="24"/>
        </w:rPr>
        <w:t>，预判对应退浆工艺；</w:t>
      </w:r>
    </w:p>
    <w:p w14:paraId="283C77FC">
      <w:pPr>
        <w:spacing w:line="360" w:lineRule="auto"/>
        <w:rPr>
          <w:rFonts w:hint="eastAsia" w:ascii="仿宋" w:hAnsi="仿宋" w:eastAsia="仿宋"/>
          <w:sz w:val="24"/>
        </w:rPr>
      </w:pPr>
      <w:r>
        <w:rPr>
          <w:rFonts w:hint="eastAsia" w:ascii="仿宋" w:hAnsi="仿宋" w:eastAsia="仿宋"/>
          <w:sz w:val="24"/>
        </w:rPr>
        <w:t>4.完整填写《分检记录表》，标注疵点类型、处理建议。</w:t>
      </w:r>
    </w:p>
    <w:p w14:paraId="7EED1903">
      <w:pPr>
        <w:spacing w:line="360" w:lineRule="auto"/>
        <w:rPr>
          <w:rFonts w:hint="eastAsia" w:ascii="仿宋" w:hAnsi="仿宋" w:eastAsia="仿宋"/>
          <w:sz w:val="24"/>
        </w:rPr>
      </w:pPr>
      <w:r>
        <w:rPr>
          <w:rFonts w:hint="eastAsia" w:ascii="仿宋" w:hAnsi="仿宋" w:eastAsia="仿宋"/>
          <w:sz w:val="24"/>
        </w:rPr>
        <w:t>任务2：染化料精准配制（60分）</w:t>
      </w:r>
    </w:p>
    <w:p w14:paraId="44198C90">
      <w:pPr>
        <w:spacing w:line="360" w:lineRule="auto"/>
        <w:rPr>
          <w:rFonts w:hint="eastAsia" w:ascii="仿宋" w:hAnsi="仿宋" w:eastAsia="仿宋"/>
          <w:sz w:val="24"/>
        </w:rPr>
      </w:pPr>
      <w:r>
        <w:rPr>
          <w:rFonts w:hint="eastAsia" w:ascii="仿宋" w:hAnsi="仿宋" w:eastAsia="仿宋"/>
          <w:sz w:val="24"/>
        </w:rPr>
        <w:t>给定酵素洗基础配方，现场称量、溶解、调pH：</w:t>
      </w:r>
    </w:p>
    <w:p w14:paraId="2807DD4D">
      <w:pPr>
        <w:spacing w:line="360" w:lineRule="auto"/>
        <w:rPr>
          <w:rFonts w:hint="eastAsia" w:ascii="仿宋" w:hAnsi="仿宋" w:eastAsia="仿宋"/>
          <w:sz w:val="24"/>
        </w:rPr>
      </w:pPr>
      <w:r>
        <w:rPr>
          <w:rFonts w:hint="eastAsia" w:ascii="仿宋" w:hAnsi="仿宋" w:eastAsia="仿宋"/>
          <w:sz w:val="24"/>
        </w:rPr>
        <w:t>助剂—标准用量—配制要求</w:t>
      </w:r>
    </w:p>
    <w:p w14:paraId="46ADEBD7">
      <w:pPr>
        <w:spacing w:line="360" w:lineRule="auto"/>
        <w:rPr>
          <w:rFonts w:hint="eastAsia" w:ascii="仿宋" w:hAnsi="仿宋" w:eastAsia="仿宋"/>
          <w:sz w:val="24"/>
        </w:rPr>
      </w:pPr>
      <w:r>
        <w:rPr>
          <w:rFonts w:hint="eastAsia" w:ascii="仿宋" w:hAnsi="仿宋" w:eastAsia="仿宋"/>
          <w:sz w:val="24"/>
        </w:rPr>
        <w:t>中温淀粉酶—</w:t>
      </w:r>
      <w:r>
        <w:rPr>
          <w:rFonts w:hint="eastAsia" w:ascii="仿宋" w:hAnsi="仿宋" w:eastAsia="仿宋"/>
          <w:sz w:val="24"/>
          <w:lang w:val="en-US" w:eastAsia="zh-CN"/>
        </w:rPr>
        <w:t>2.1</w:t>
      </w:r>
      <w:r>
        <w:rPr>
          <w:rFonts w:hint="eastAsia" w:ascii="仿宋" w:hAnsi="仿宋" w:eastAsia="仿宋"/>
          <w:sz w:val="24"/>
        </w:rPr>
        <w:t>g/</w:t>
      </w:r>
      <w:r>
        <w:rPr>
          <w:rFonts w:hint="eastAsia" w:ascii="仿宋" w:hAnsi="仿宋" w:eastAsia="仿宋"/>
          <w:sz w:val="24"/>
          <w:lang w:val="en-US" w:eastAsia="zh-CN"/>
        </w:rPr>
        <w:t>1</w:t>
      </w:r>
      <w:r>
        <w:rPr>
          <w:rFonts w:hint="eastAsia" w:ascii="仿宋" w:hAnsi="仿宋" w:eastAsia="仿宋"/>
          <w:sz w:val="24"/>
        </w:rPr>
        <w:t>0L水—水温35℃，搅拌5min，实测pH记录</w:t>
      </w:r>
    </w:p>
    <w:p w14:paraId="50FD6E2D">
      <w:pPr>
        <w:spacing w:line="360" w:lineRule="auto"/>
        <w:rPr>
          <w:rFonts w:hint="eastAsia" w:ascii="仿宋" w:hAnsi="仿宋" w:eastAsia="仿宋"/>
          <w:sz w:val="24"/>
        </w:rPr>
      </w:pPr>
      <w:r>
        <w:rPr>
          <w:rFonts w:hint="eastAsia" w:ascii="仿宋" w:hAnsi="仿宋" w:eastAsia="仿宋"/>
          <w:sz w:val="24"/>
        </w:rPr>
        <w:t>酸性纤维素酶—</w:t>
      </w:r>
      <w:r>
        <w:rPr>
          <w:rFonts w:hint="eastAsia" w:ascii="仿宋" w:hAnsi="仿宋" w:eastAsia="仿宋"/>
          <w:sz w:val="24"/>
          <w:lang w:val="en-US" w:eastAsia="zh-CN"/>
        </w:rPr>
        <w:t>4.7</w:t>
      </w:r>
      <w:r>
        <w:rPr>
          <w:rFonts w:hint="eastAsia" w:ascii="仿宋" w:hAnsi="仿宋" w:eastAsia="仿宋"/>
          <w:sz w:val="24"/>
        </w:rPr>
        <w:t>g/</w:t>
      </w:r>
      <w:r>
        <w:rPr>
          <w:rFonts w:hint="eastAsia" w:ascii="仿宋" w:hAnsi="仿宋" w:eastAsia="仿宋"/>
          <w:sz w:val="24"/>
          <w:lang w:val="en-US" w:eastAsia="zh-CN"/>
        </w:rPr>
        <w:t>1</w:t>
      </w:r>
      <w:r>
        <w:rPr>
          <w:rFonts w:hint="eastAsia" w:ascii="仿宋" w:hAnsi="仿宋" w:eastAsia="仿宋"/>
          <w:sz w:val="24"/>
        </w:rPr>
        <w:t>0L水—单独化料，禁止与强碱混合</w:t>
      </w:r>
    </w:p>
    <w:p w14:paraId="6C6A0805">
      <w:pPr>
        <w:spacing w:line="360" w:lineRule="auto"/>
        <w:rPr>
          <w:rFonts w:hint="eastAsia" w:ascii="仿宋" w:hAnsi="仿宋" w:eastAsia="仿宋"/>
          <w:sz w:val="24"/>
        </w:rPr>
      </w:pPr>
      <w:r>
        <w:rPr>
          <w:rFonts w:hint="eastAsia" w:ascii="仿宋" w:hAnsi="仿宋" w:eastAsia="仿宋"/>
          <w:sz w:val="24"/>
        </w:rPr>
        <w:t>防回染剂—1</w:t>
      </w:r>
      <w:r>
        <w:rPr>
          <w:rFonts w:hint="eastAsia" w:ascii="仿宋" w:hAnsi="仿宋" w:eastAsia="仿宋"/>
          <w:sz w:val="24"/>
          <w:lang w:val="en-US" w:eastAsia="zh-CN"/>
        </w:rPr>
        <w:t>.8</w:t>
      </w:r>
      <w:r>
        <w:rPr>
          <w:rFonts w:hint="eastAsia" w:ascii="仿宋" w:hAnsi="仿宋" w:eastAsia="仿宋"/>
          <w:sz w:val="24"/>
        </w:rPr>
        <w:t>g/</w:t>
      </w:r>
      <w:r>
        <w:rPr>
          <w:rFonts w:hint="eastAsia" w:ascii="仿宋" w:hAnsi="仿宋" w:eastAsia="仿宋"/>
          <w:sz w:val="24"/>
          <w:lang w:val="en-US" w:eastAsia="zh-CN"/>
        </w:rPr>
        <w:t>1</w:t>
      </w:r>
      <w:r>
        <w:rPr>
          <w:rFonts w:hint="eastAsia" w:ascii="仿宋" w:hAnsi="仿宋" w:eastAsia="仿宋"/>
          <w:sz w:val="24"/>
        </w:rPr>
        <w:t>0L水—常温稀释，搅拌均匀</w:t>
      </w:r>
    </w:p>
    <w:p w14:paraId="7C5AA504">
      <w:pPr>
        <w:spacing w:line="360" w:lineRule="auto"/>
        <w:rPr>
          <w:rFonts w:hint="eastAsia" w:ascii="仿宋" w:hAnsi="仿宋" w:eastAsia="仿宋"/>
          <w:sz w:val="24"/>
        </w:rPr>
      </w:pPr>
      <w:r>
        <w:rPr>
          <w:rFonts w:hint="eastAsia" w:ascii="仿宋" w:hAnsi="仿宋" w:eastAsia="仿宋"/>
          <w:sz w:val="24"/>
        </w:rPr>
        <w:t>pH缓冲剂—</w:t>
      </w:r>
      <w:r>
        <w:rPr>
          <w:rFonts w:hint="eastAsia" w:ascii="仿宋" w:hAnsi="仿宋" w:eastAsia="仿宋"/>
          <w:sz w:val="24"/>
          <w:lang w:val="en-US" w:eastAsia="zh-CN"/>
        </w:rPr>
        <w:t>1.4</w:t>
      </w:r>
      <w:r>
        <w:rPr>
          <w:rFonts w:hint="eastAsia" w:ascii="仿宋" w:hAnsi="仿宋" w:eastAsia="仿宋"/>
          <w:sz w:val="24"/>
        </w:rPr>
        <w:t>g/</w:t>
      </w:r>
      <w:r>
        <w:rPr>
          <w:rFonts w:hint="eastAsia" w:ascii="仿宋" w:hAnsi="仿宋" w:eastAsia="仿宋"/>
          <w:sz w:val="24"/>
          <w:lang w:val="en-US" w:eastAsia="zh-CN"/>
        </w:rPr>
        <w:t>1</w:t>
      </w:r>
      <w:r>
        <w:rPr>
          <w:rFonts w:hint="eastAsia" w:ascii="仿宋" w:hAnsi="仿宋" w:eastAsia="仿宋"/>
          <w:sz w:val="24"/>
        </w:rPr>
        <w:t>0L水—调节体系pH至5.0±0.3</w:t>
      </w:r>
    </w:p>
    <w:p w14:paraId="663524B5">
      <w:pPr>
        <w:spacing w:line="360" w:lineRule="auto"/>
        <w:rPr>
          <w:rFonts w:hint="eastAsia" w:ascii="仿宋" w:hAnsi="仿宋" w:eastAsia="仿宋"/>
          <w:sz w:val="24"/>
        </w:rPr>
      </w:pPr>
      <w:r>
        <w:rPr>
          <w:rFonts w:hint="eastAsia" w:ascii="仿宋" w:hAnsi="仿宋" w:eastAsia="仿宋"/>
          <w:sz w:val="24"/>
        </w:rPr>
        <w:t>操作规范：——</w:t>
      </w:r>
    </w:p>
    <w:p w14:paraId="0A37CC63">
      <w:pPr>
        <w:spacing w:line="360" w:lineRule="auto"/>
        <w:rPr>
          <w:rFonts w:hint="eastAsia" w:ascii="仿宋" w:hAnsi="仿宋" w:eastAsia="仿宋"/>
          <w:sz w:val="24"/>
        </w:rPr>
      </w:pPr>
      <w:r>
        <w:rPr>
          <w:rFonts w:hint="eastAsia" w:ascii="仿宋" w:hAnsi="仿宋" w:eastAsia="仿宋"/>
          <w:sz w:val="24"/>
        </w:rPr>
        <w:t>1.天平归零校准，称量精度误差≤±</w:t>
      </w:r>
      <w:r>
        <w:rPr>
          <w:rFonts w:hint="eastAsia" w:ascii="仿宋" w:hAnsi="仿宋" w:eastAsia="仿宋"/>
          <w:sz w:val="24"/>
          <w:lang w:val="en-US" w:eastAsia="zh-CN"/>
        </w:rPr>
        <w:t>0.1</w:t>
      </w:r>
      <w:r>
        <w:rPr>
          <w:rFonts w:hint="eastAsia" w:ascii="仿宋" w:hAnsi="仿宋" w:eastAsia="仿宋"/>
          <w:sz w:val="24"/>
        </w:rPr>
        <w:t>g，超差扣分；</w:t>
      </w:r>
    </w:p>
    <w:p w14:paraId="679C1D0D">
      <w:pPr>
        <w:spacing w:line="360" w:lineRule="auto"/>
        <w:rPr>
          <w:rFonts w:hint="eastAsia" w:ascii="仿宋" w:hAnsi="仿宋" w:eastAsia="仿宋"/>
          <w:sz w:val="24"/>
        </w:rPr>
      </w:pPr>
      <w:r>
        <w:rPr>
          <w:rFonts w:hint="eastAsia" w:ascii="仿宋" w:hAnsi="仿宋" w:eastAsia="仿宋"/>
          <w:sz w:val="24"/>
        </w:rPr>
        <w:t>2.助剂分桶溶解，依次加注，杜绝粉尘飞溅；</w:t>
      </w:r>
    </w:p>
    <w:p w14:paraId="126EE61E">
      <w:pPr>
        <w:spacing w:line="360" w:lineRule="auto"/>
        <w:rPr>
          <w:rFonts w:hint="eastAsia" w:ascii="仿宋" w:hAnsi="仿宋" w:eastAsia="仿宋"/>
          <w:sz w:val="24"/>
        </w:rPr>
      </w:pPr>
      <w:r>
        <w:rPr>
          <w:rFonts w:hint="eastAsia" w:ascii="仿宋" w:hAnsi="仿宋" w:eastAsia="仿宋"/>
          <w:sz w:val="24"/>
        </w:rPr>
        <w:t>3.配制完成使用pH计实测并记录数值；</w:t>
      </w:r>
    </w:p>
    <w:p w14:paraId="65511986">
      <w:pPr>
        <w:spacing w:line="360" w:lineRule="auto"/>
        <w:rPr>
          <w:rFonts w:hint="eastAsia" w:ascii="仿宋" w:hAnsi="仿宋" w:eastAsia="仿宋"/>
          <w:sz w:val="24"/>
        </w:rPr>
      </w:pPr>
      <w:r>
        <w:rPr>
          <w:rFonts w:hint="eastAsia" w:ascii="仿宋" w:hAnsi="仿宋" w:eastAsia="仿宋"/>
          <w:sz w:val="24"/>
        </w:rPr>
        <w:t>4.全程规范佩戴全套劳保防护，工位工具、废料5S规整。</w:t>
      </w:r>
    </w:p>
    <w:p w14:paraId="4F5F8941">
      <w:pPr>
        <w:spacing w:line="360" w:lineRule="auto"/>
        <w:rPr>
          <w:rFonts w:hint="eastAsia" w:ascii="仿宋" w:hAnsi="仿宋" w:eastAsia="仿宋"/>
          <w:sz w:val="24"/>
        </w:rPr>
      </w:pPr>
      <w:bookmarkStart w:id="78" w:name="_GoBack"/>
      <w:bookmarkEnd w:id="78"/>
      <w:r>
        <w:rPr>
          <w:rFonts w:hint="eastAsia" w:ascii="仿宋" w:hAnsi="仿宋" w:eastAsia="仿宋"/>
          <w:b/>
          <w:bCs/>
          <w:sz w:val="30"/>
          <w:szCs w:val="30"/>
        </w:rPr>
        <w:t>第</w:t>
      </w:r>
      <w:r>
        <w:rPr>
          <w:rFonts w:hint="eastAsia" w:ascii="仿宋" w:hAnsi="仿宋" w:eastAsia="仿宋"/>
          <w:b/>
          <w:bCs/>
          <w:sz w:val="30"/>
          <w:szCs w:val="30"/>
          <w:lang w:val="en-US" w:eastAsia="zh-CN"/>
        </w:rPr>
        <w:t>三</w:t>
      </w:r>
      <w:r>
        <w:rPr>
          <w:rFonts w:hint="eastAsia" w:ascii="仿宋" w:hAnsi="仿宋" w:eastAsia="仿宋"/>
          <w:b/>
          <w:bCs/>
          <w:sz w:val="30"/>
          <w:szCs w:val="30"/>
        </w:rPr>
        <w:t>部分实操模块</w:t>
      </w:r>
      <w:r>
        <w:rPr>
          <w:rFonts w:hint="eastAsia" w:ascii="仿宋" w:hAnsi="仿宋" w:eastAsia="仿宋"/>
          <w:b/>
          <w:bCs/>
          <w:sz w:val="30"/>
          <w:szCs w:val="30"/>
          <w:lang w:val="en-US" w:eastAsia="zh-CN"/>
        </w:rPr>
        <w:t>B</w:t>
      </w:r>
      <w:r>
        <w:rPr>
          <w:rFonts w:hint="eastAsia" w:ascii="仿宋" w:hAnsi="仿宋" w:eastAsia="仿宋"/>
          <w:b/>
          <w:bCs/>
          <w:sz w:val="30"/>
          <w:szCs w:val="30"/>
        </w:rPr>
        <w:t>酵磨复合洗+成品</w:t>
      </w:r>
      <w:r>
        <w:rPr>
          <w:rFonts w:hint="eastAsia" w:ascii="仿宋" w:hAnsi="仿宋" w:eastAsia="仿宋"/>
          <w:b/>
          <w:bCs/>
          <w:sz w:val="30"/>
          <w:szCs w:val="30"/>
          <w:lang w:eastAsia="zh-CN"/>
        </w:rPr>
        <w:t>效果</w:t>
      </w:r>
      <w:r>
        <w:rPr>
          <w:rFonts w:hint="eastAsia" w:ascii="仿宋" w:hAnsi="仿宋" w:eastAsia="仿宋"/>
          <w:b/>
          <w:bCs/>
          <w:sz w:val="30"/>
          <w:szCs w:val="30"/>
        </w:rPr>
        <w:t>试题（样题）</w:t>
      </w:r>
    </w:p>
    <w:p w14:paraId="34338BAC">
      <w:pPr>
        <w:spacing w:line="360" w:lineRule="auto"/>
        <w:rPr>
          <w:rFonts w:hint="eastAsia" w:ascii="仿宋" w:hAnsi="仿宋" w:eastAsia="仿宋"/>
          <w:sz w:val="24"/>
        </w:rPr>
      </w:pPr>
      <w:r>
        <w:rPr>
          <w:rFonts w:hint="eastAsia" w:ascii="仿宋" w:hAnsi="仿宋" w:eastAsia="仿宋"/>
          <w:sz w:val="24"/>
        </w:rPr>
        <w:t>1试题基础信息</w:t>
      </w:r>
    </w:p>
    <w:p w14:paraId="0867B580">
      <w:pPr>
        <w:spacing w:line="360" w:lineRule="auto"/>
        <w:rPr>
          <w:rFonts w:hint="eastAsia" w:ascii="仿宋" w:hAnsi="仿宋" w:eastAsia="仿宋"/>
          <w:sz w:val="24"/>
        </w:rPr>
      </w:pPr>
      <w:r>
        <w:rPr>
          <w:rFonts w:hint="eastAsia" w:ascii="仿宋" w:hAnsi="仿宋" w:eastAsia="仿宋"/>
          <w:sz w:val="24"/>
        </w:rPr>
        <w:t>•考核时长：150min，满分100分，折算决赛</w:t>
      </w:r>
      <w:r>
        <w:rPr>
          <w:rFonts w:hint="eastAsia" w:ascii="仿宋" w:hAnsi="仿宋" w:eastAsia="仿宋"/>
          <w:sz w:val="24"/>
          <w:lang w:val="en-US" w:eastAsia="zh-CN"/>
        </w:rPr>
        <w:t>7</w:t>
      </w:r>
      <w:r>
        <w:rPr>
          <w:rFonts w:hint="eastAsia" w:ascii="仿宋" w:hAnsi="仿宋" w:eastAsia="仿宋"/>
          <w:sz w:val="24"/>
        </w:rPr>
        <w:t>0分</w:t>
      </w:r>
    </w:p>
    <w:p w14:paraId="56B0F313">
      <w:pPr>
        <w:spacing w:line="360" w:lineRule="auto"/>
        <w:rPr>
          <w:rFonts w:hint="eastAsia" w:ascii="仿宋" w:hAnsi="仿宋" w:eastAsia="仿宋"/>
          <w:sz w:val="24"/>
        </w:rPr>
      </w:pPr>
      <w:r>
        <w:rPr>
          <w:rFonts w:hint="eastAsia" w:ascii="仿宋" w:hAnsi="仿宋" w:eastAsia="仿宋"/>
          <w:sz w:val="24"/>
        </w:rPr>
        <w:t>•执行标准：T/GDTEX22.2-2021石磨洗工艺指南</w:t>
      </w:r>
    </w:p>
    <w:p w14:paraId="7C5B94E3">
      <w:pPr>
        <w:spacing w:line="360" w:lineRule="auto"/>
        <w:rPr>
          <w:rFonts w:hint="eastAsia" w:ascii="仿宋" w:hAnsi="仿宋" w:eastAsia="仿宋"/>
          <w:sz w:val="24"/>
        </w:rPr>
      </w:pPr>
      <w:r>
        <w:rPr>
          <w:rFonts w:hint="eastAsia" w:ascii="仿宋" w:hAnsi="仿宋" w:eastAsia="仿宋"/>
          <w:sz w:val="24"/>
        </w:rPr>
        <w:t>•样品：弹力靛蓝牛仔长裤</w:t>
      </w:r>
    </w:p>
    <w:p w14:paraId="3ACF8065">
      <w:pPr>
        <w:spacing w:line="360" w:lineRule="auto"/>
        <w:rPr>
          <w:rFonts w:hint="eastAsia" w:ascii="仿宋" w:hAnsi="仿宋" w:eastAsia="仿宋"/>
          <w:sz w:val="24"/>
        </w:rPr>
      </w:pPr>
      <w:r>
        <w:rPr>
          <w:rFonts w:hint="eastAsia" w:ascii="仿宋" w:hAnsi="仿宋" w:eastAsia="仿宋"/>
          <w:sz w:val="24"/>
        </w:rPr>
        <w:t>•设备：5</w:t>
      </w:r>
      <w:r>
        <w:rPr>
          <w:rFonts w:hint="eastAsia" w:ascii="仿宋" w:hAnsi="仿宋" w:eastAsia="仿宋"/>
          <w:sz w:val="24"/>
          <w:lang w:val="en-US" w:eastAsia="zh-CN"/>
        </w:rPr>
        <w:t>5</w:t>
      </w:r>
      <w:r>
        <w:rPr>
          <w:rFonts w:hint="eastAsia" w:ascii="仿宋" w:hAnsi="仿宋" w:eastAsia="仿宋"/>
          <w:sz w:val="24"/>
        </w:rPr>
        <w:t>0L洗脱机、脱水机、控温翻转烘干机</w:t>
      </w:r>
    </w:p>
    <w:p w14:paraId="53716A87">
      <w:pPr>
        <w:spacing w:line="360" w:lineRule="auto"/>
        <w:rPr>
          <w:rFonts w:hint="default" w:ascii="仿宋" w:hAnsi="仿宋" w:eastAsia="仿宋"/>
          <w:sz w:val="24"/>
          <w:lang w:val="en-US" w:eastAsia="zh-CN"/>
        </w:rPr>
      </w:pPr>
      <w:r>
        <w:rPr>
          <w:rFonts w:hint="eastAsia" w:ascii="仿宋" w:hAnsi="仿宋" w:eastAsia="仿宋"/>
          <w:sz w:val="24"/>
        </w:rPr>
        <w:t>2酵磨洗工艺任务</w:t>
      </w:r>
    </w:p>
    <w:p w14:paraId="522EB63F">
      <w:pPr>
        <w:numPr>
          <w:ilvl w:val="0"/>
          <w:numId w:val="3"/>
        </w:numPr>
        <w:spacing w:line="360" w:lineRule="auto"/>
        <w:rPr>
          <w:rFonts w:hint="eastAsia" w:ascii="仿宋" w:hAnsi="仿宋" w:eastAsia="仿宋"/>
          <w:sz w:val="24"/>
        </w:rPr>
      </w:pPr>
      <w:r>
        <w:rPr>
          <w:rFonts w:hint="eastAsia" w:ascii="仿宋" w:hAnsi="仿宋" w:eastAsia="仿宋"/>
          <w:sz w:val="24"/>
        </w:rPr>
        <w:t>工艺参数（赛前可调≤30%）</w:t>
      </w:r>
    </w:p>
    <w:p w14:paraId="686B2AEC">
      <w:pPr>
        <w:numPr>
          <w:ilvl w:val="0"/>
          <w:numId w:val="0"/>
        </w:numPr>
        <w:spacing w:line="360" w:lineRule="auto"/>
        <w:rPr>
          <w:rFonts w:hint="eastAsia" w:ascii="仿宋" w:hAnsi="仿宋" w:eastAsia="仿宋"/>
          <w:sz w:val="24"/>
        </w:rPr>
      </w:pPr>
      <w:r>
        <w:rPr>
          <w:rFonts w:hint="eastAsia" w:ascii="仿宋" w:hAnsi="仿宋" w:eastAsia="仿宋"/>
          <w:sz w:val="24"/>
          <w:lang w:val="en-US" w:eastAsia="zh-CN"/>
        </w:rPr>
        <w:t>1.选手根据抽到的样板牛仔裤，自行调配酵素磨洗所需使用物料；</w:t>
      </w:r>
    </w:p>
    <w:p w14:paraId="7BF50E27">
      <w:pPr>
        <w:spacing w:line="360" w:lineRule="auto"/>
        <w:rPr>
          <w:rFonts w:hint="eastAsia" w:ascii="仿宋" w:hAnsi="仿宋" w:eastAsia="仿宋"/>
          <w:sz w:val="24"/>
        </w:rPr>
      </w:pPr>
      <w:r>
        <w:rPr>
          <w:rFonts w:hint="eastAsia" w:ascii="仿宋" w:hAnsi="仿宋" w:eastAsia="仿宋"/>
          <w:sz w:val="24"/>
          <w:lang w:val="en-US" w:eastAsia="zh-CN"/>
        </w:rPr>
        <w:t>2.</w:t>
      </w:r>
      <w:r>
        <w:rPr>
          <w:rFonts w:hint="eastAsia" w:ascii="仿宋" w:hAnsi="仿宋" w:eastAsia="仿宋"/>
          <w:sz w:val="24"/>
        </w:rPr>
        <w:t>pH控制6.0~7.0；</w:t>
      </w:r>
    </w:p>
    <w:p w14:paraId="125CE562">
      <w:pPr>
        <w:spacing w:line="360" w:lineRule="auto"/>
        <w:rPr>
          <w:rFonts w:hint="eastAsia" w:ascii="仿宋" w:hAnsi="仿宋" w:eastAsia="仿宋"/>
          <w:sz w:val="24"/>
        </w:rPr>
      </w:pPr>
      <w:r>
        <w:rPr>
          <w:rFonts w:hint="eastAsia" w:ascii="仿宋" w:hAnsi="仿宋" w:eastAsia="仿宋"/>
          <w:sz w:val="24"/>
          <w:lang w:val="en-US" w:eastAsia="zh-CN"/>
        </w:rPr>
        <w:t>3</w:t>
      </w:r>
      <w:r>
        <w:rPr>
          <w:rFonts w:hint="eastAsia" w:ascii="仿宋" w:hAnsi="仿宋" w:eastAsia="仿宋"/>
          <w:sz w:val="24"/>
        </w:rPr>
        <w:t>.三次取样对色，调整洗涤时长；</w:t>
      </w:r>
    </w:p>
    <w:p w14:paraId="201B2398">
      <w:pPr>
        <w:spacing w:line="360" w:lineRule="auto"/>
        <w:rPr>
          <w:rFonts w:hint="eastAsia" w:ascii="仿宋" w:hAnsi="仿宋" w:eastAsia="仿宋"/>
          <w:sz w:val="24"/>
        </w:rPr>
      </w:pPr>
      <w:r>
        <w:rPr>
          <w:rFonts w:hint="eastAsia" w:ascii="仿宋" w:hAnsi="仿宋" w:eastAsia="仿宋"/>
          <w:sz w:val="24"/>
          <w:lang w:val="en-US" w:eastAsia="zh-CN"/>
        </w:rPr>
        <w:t>4</w:t>
      </w:r>
      <w:r>
        <w:rPr>
          <w:rFonts w:hint="eastAsia" w:ascii="仿宋" w:hAnsi="仿宋" w:eastAsia="仿宋"/>
          <w:sz w:val="24"/>
        </w:rPr>
        <w:t>.漂洗→中和→</w:t>
      </w:r>
      <w:r>
        <w:rPr>
          <w:rFonts w:hint="eastAsia" w:ascii="仿宋" w:hAnsi="仿宋" w:eastAsia="仿宋"/>
          <w:sz w:val="24"/>
          <w:lang w:eastAsia="zh-CN"/>
        </w:rPr>
        <w:t>软柔剂</w:t>
      </w:r>
      <w:r>
        <w:rPr>
          <w:rFonts w:hint="eastAsia" w:ascii="仿宋" w:hAnsi="仿宋" w:eastAsia="仿宋"/>
          <w:sz w:val="24"/>
        </w:rPr>
        <w:t>→脱水；</w:t>
      </w:r>
    </w:p>
    <w:p w14:paraId="26BB38C8">
      <w:pPr>
        <w:spacing w:line="360" w:lineRule="auto"/>
        <w:rPr>
          <w:rFonts w:hint="eastAsia" w:ascii="仿宋" w:hAnsi="仿宋" w:eastAsia="仿宋"/>
          <w:sz w:val="24"/>
        </w:rPr>
      </w:pPr>
      <w:r>
        <w:rPr>
          <w:rFonts w:hint="eastAsia" w:ascii="仿宋" w:hAnsi="仿宋" w:eastAsia="仿宋"/>
          <w:sz w:val="24"/>
          <w:lang w:val="en-US" w:eastAsia="zh-CN"/>
        </w:rPr>
        <w:t>5</w:t>
      </w:r>
      <w:r>
        <w:rPr>
          <w:rFonts w:hint="eastAsia" w:ascii="仿宋" w:hAnsi="仿宋" w:eastAsia="仿宋"/>
          <w:sz w:val="24"/>
        </w:rPr>
        <w:t>.烘干机</w:t>
      </w:r>
      <w:r>
        <w:rPr>
          <w:rFonts w:hint="eastAsia" w:ascii="仿宋" w:hAnsi="仿宋" w:eastAsia="仿宋"/>
          <w:sz w:val="24"/>
          <w:lang w:eastAsia="zh-CN"/>
        </w:rPr>
        <w:t>（温度自设）</w:t>
      </w:r>
      <w:r>
        <w:rPr>
          <w:rFonts w:hint="eastAsia" w:ascii="仿宋" w:hAnsi="仿宋" w:eastAsia="仿宋"/>
          <w:sz w:val="24"/>
        </w:rPr>
        <w:t>正反转烘干，烘干后开门静置冷却。</w:t>
      </w:r>
    </w:p>
    <w:p w14:paraId="03F3ED0C">
      <w:pPr>
        <w:spacing w:line="360" w:lineRule="auto"/>
        <w:rPr>
          <w:rFonts w:hint="eastAsia" w:ascii="仿宋" w:hAnsi="仿宋" w:eastAsia="仿宋"/>
          <w:sz w:val="24"/>
        </w:rPr>
      </w:pPr>
      <w:r>
        <w:rPr>
          <w:rFonts w:hint="eastAsia" w:ascii="仿宋" w:hAnsi="仿宋" w:eastAsia="仿宋"/>
          <w:sz w:val="24"/>
        </w:rPr>
        <w:t>（2）关键操作要点</w:t>
      </w:r>
    </w:p>
    <w:p w14:paraId="32CB9206">
      <w:pPr>
        <w:spacing w:line="360" w:lineRule="auto"/>
        <w:rPr>
          <w:rFonts w:hint="eastAsia" w:ascii="仿宋" w:hAnsi="仿宋" w:eastAsia="仿宋"/>
          <w:sz w:val="24"/>
        </w:rPr>
      </w:pPr>
      <w:r>
        <w:rPr>
          <w:rFonts w:hint="eastAsia" w:ascii="仿宋" w:hAnsi="仿宋" w:eastAsia="仿宋"/>
          <w:sz w:val="24"/>
          <w:lang w:val="en-US" w:eastAsia="zh-CN"/>
        </w:rPr>
        <w:t>1</w:t>
      </w:r>
      <w:r>
        <w:rPr>
          <w:rFonts w:hint="eastAsia" w:ascii="仿宋" w:hAnsi="仿宋" w:eastAsia="仿宋"/>
          <w:sz w:val="24"/>
        </w:rPr>
        <w:t>.口袋预先胶针封口，防止造成破损；</w:t>
      </w:r>
    </w:p>
    <w:p w14:paraId="0696FB72">
      <w:pPr>
        <w:spacing w:line="360" w:lineRule="auto"/>
        <w:rPr>
          <w:rFonts w:hint="eastAsia" w:ascii="仿宋" w:hAnsi="仿宋" w:eastAsia="仿宋"/>
          <w:sz w:val="24"/>
        </w:rPr>
      </w:pPr>
      <w:r>
        <w:rPr>
          <w:rFonts w:hint="eastAsia" w:ascii="仿宋" w:hAnsi="仿宋" w:eastAsia="仿宋"/>
          <w:sz w:val="24"/>
          <w:lang w:val="en-US" w:eastAsia="zh-CN"/>
        </w:rPr>
        <w:t>2</w:t>
      </w:r>
      <w:r>
        <w:rPr>
          <w:rFonts w:hint="eastAsia" w:ascii="仿宋" w:hAnsi="仿宋" w:eastAsia="仿宋"/>
          <w:sz w:val="24"/>
        </w:rPr>
        <w:t>.烘干禁止单向运转，防止面料扭曲、尺寸偏差；</w:t>
      </w:r>
    </w:p>
    <w:p w14:paraId="752E19EE">
      <w:pPr>
        <w:spacing w:line="360" w:lineRule="auto"/>
        <w:rPr>
          <w:rFonts w:hint="eastAsia" w:ascii="仿宋" w:hAnsi="仿宋" w:eastAsia="仿宋"/>
          <w:sz w:val="24"/>
        </w:rPr>
      </w:pPr>
      <w:r>
        <w:rPr>
          <w:rFonts w:hint="eastAsia" w:ascii="仿宋" w:hAnsi="仿宋" w:eastAsia="仿宋"/>
          <w:sz w:val="24"/>
          <w:lang w:val="en-US" w:eastAsia="zh-CN"/>
        </w:rPr>
        <w:t>3</w:t>
      </w:r>
      <w:r>
        <w:rPr>
          <w:rFonts w:hint="eastAsia" w:ascii="仿宋" w:hAnsi="仿宋" w:eastAsia="仿宋"/>
          <w:sz w:val="24"/>
        </w:rPr>
        <w:t>.烘干冷却后方可</w:t>
      </w:r>
      <w:r>
        <w:rPr>
          <w:rFonts w:hint="eastAsia" w:ascii="仿宋" w:hAnsi="仿宋" w:eastAsia="仿宋"/>
          <w:sz w:val="24"/>
          <w:lang w:eastAsia="zh-CN"/>
        </w:rPr>
        <w:t>取出评分</w:t>
      </w:r>
      <w:r>
        <w:rPr>
          <w:rFonts w:hint="eastAsia" w:ascii="仿宋" w:hAnsi="仿宋" w:eastAsia="仿宋"/>
          <w:sz w:val="24"/>
        </w:rPr>
        <w:t>，避免热态误判手感、尺寸。</w:t>
      </w:r>
    </w:p>
    <w:p w14:paraId="5F7C2774">
      <w:pPr>
        <w:spacing w:line="360" w:lineRule="auto"/>
        <w:rPr>
          <w:rFonts w:hint="default" w:ascii="仿宋" w:hAnsi="仿宋" w:eastAsia="仿宋"/>
          <w:sz w:val="24"/>
          <w:lang w:val="en-US" w:eastAsia="zh-CN"/>
        </w:rPr>
      </w:pPr>
      <w:r>
        <w:rPr>
          <w:rFonts w:hint="eastAsia" w:ascii="仿宋" w:hAnsi="仿宋" w:eastAsia="仿宋"/>
          <w:sz w:val="24"/>
          <w:lang w:val="en-US" w:eastAsia="zh-CN"/>
        </w:rPr>
        <w:t>4.填写工艺记录单</w:t>
      </w:r>
    </w:p>
    <w:p w14:paraId="0F5C0F2A">
      <w:pPr>
        <w:spacing w:line="360" w:lineRule="auto"/>
        <w:rPr>
          <w:rFonts w:hint="eastAsia" w:ascii="仿宋" w:hAnsi="仿宋" w:eastAsia="仿宋"/>
          <w:sz w:val="24"/>
        </w:rPr>
      </w:pPr>
      <w:r>
        <w:rPr>
          <w:rFonts w:hint="eastAsia" w:ascii="仿宋" w:hAnsi="仿宋" w:eastAsia="仿宋"/>
          <w:sz w:val="24"/>
        </w:rPr>
        <w:t>（3）成品</w:t>
      </w:r>
      <w:r>
        <w:rPr>
          <w:rFonts w:hint="eastAsia" w:ascii="仿宋" w:hAnsi="仿宋" w:eastAsia="仿宋"/>
          <w:sz w:val="24"/>
          <w:lang w:val="en-US" w:eastAsia="zh-CN"/>
        </w:rPr>
        <w:t>效果</w:t>
      </w:r>
    </w:p>
    <w:p w14:paraId="0B41084D">
      <w:pPr>
        <w:spacing w:line="360" w:lineRule="auto"/>
        <w:rPr>
          <w:rFonts w:hint="eastAsia" w:ascii="仿宋" w:hAnsi="仿宋" w:eastAsia="仿宋"/>
          <w:sz w:val="24"/>
        </w:rPr>
      </w:pPr>
      <w:r>
        <w:rPr>
          <w:rFonts w:hint="eastAsia" w:ascii="仿宋" w:hAnsi="仿宋" w:eastAsia="仿宋"/>
          <w:sz w:val="24"/>
        </w:rPr>
        <w:t>1.对照标准样板，逐条检验</w:t>
      </w:r>
      <w:r>
        <w:rPr>
          <w:rFonts w:hint="eastAsia" w:ascii="仿宋" w:hAnsi="仿宋" w:eastAsia="仿宋"/>
          <w:sz w:val="24"/>
          <w:lang w:val="en-US" w:eastAsia="zh-CN"/>
        </w:rPr>
        <w:t>5</w:t>
      </w:r>
      <w:r>
        <w:rPr>
          <w:rFonts w:hint="eastAsia" w:ascii="仿宋" w:hAnsi="仿宋" w:eastAsia="仿宋"/>
          <w:sz w:val="24"/>
        </w:rPr>
        <w:t>项指标：整体色差、弹力断弹、水渍白斑、尺寸收缩、手感；</w:t>
      </w:r>
    </w:p>
    <w:p w14:paraId="440895F1">
      <w:pPr>
        <w:spacing w:line="360" w:lineRule="auto"/>
        <w:rPr>
          <w:rFonts w:hint="eastAsia" w:ascii="仿宋" w:hAnsi="仿宋" w:eastAsia="仿宋"/>
          <w:sz w:val="24"/>
        </w:rPr>
      </w:pPr>
      <w:r>
        <w:rPr>
          <w:rFonts w:hint="eastAsia" w:ascii="仿宋" w:hAnsi="仿宋" w:eastAsia="仿宋"/>
          <w:sz w:val="24"/>
        </w:rPr>
        <w:t>2.完整填写《服装洗水</w:t>
      </w:r>
      <w:r>
        <w:rPr>
          <w:rFonts w:hint="eastAsia" w:ascii="仿宋" w:hAnsi="仿宋" w:eastAsia="仿宋"/>
          <w:sz w:val="24"/>
          <w:lang w:eastAsia="zh-CN"/>
        </w:rPr>
        <w:t>工艺</w:t>
      </w:r>
      <w:r>
        <w:rPr>
          <w:rFonts w:hint="eastAsia" w:ascii="仿宋" w:hAnsi="仿宋" w:eastAsia="仿宋"/>
          <w:sz w:val="24"/>
        </w:rPr>
        <w:t>记录表》，裁判核对签字。</w:t>
      </w:r>
    </w:p>
    <w:p w14:paraId="13FD107E">
      <w:pPr>
        <w:spacing w:line="360" w:lineRule="auto"/>
        <w:rPr>
          <w:rFonts w:hint="eastAsia" w:ascii="仿宋" w:hAnsi="仿宋" w:eastAsia="仿宋"/>
          <w:b/>
          <w:bCs/>
          <w:sz w:val="30"/>
          <w:szCs w:val="30"/>
        </w:rPr>
      </w:pPr>
      <w:r>
        <w:rPr>
          <w:rFonts w:hint="eastAsia" w:ascii="仿宋" w:hAnsi="仿宋" w:eastAsia="仿宋"/>
          <w:b/>
          <w:bCs/>
          <w:sz w:val="30"/>
          <w:szCs w:val="30"/>
        </w:rPr>
        <w:t>第</w:t>
      </w:r>
      <w:r>
        <w:rPr>
          <w:rFonts w:hint="eastAsia" w:ascii="仿宋" w:hAnsi="仿宋" w:eastAsia="仿宋"/>
          <w:b/>
          <w:bCs/>
          <w:sz w:val="30"/>
          <w:szCs w:val="30"/>
          <w:lang w:val="en-US" w:eastAsia="zh-CN"/>
        </w:rPr>
        <w:t>四</w:t>
      </w:r>
      <w:r>
        <w:rPr>
          <w:rFonts w:hint="eastAsia" w:ascii="仿宋" w:hAnsi="仿宋" w:eastAsia="仿宋"/>
          <w:b/>
          <w:bCs/>
          <w:sz w:val="30"/>
          <w:szCs w:val="30"/>
        </w:rPr>
        <w:t>部分通用配套作业文件说明</w:t>
      </w:r>
    </w:p>
    <w:p w14:paraId="125B5A35">
      <w:pPr>
        <w:spacing w:line="360" w:lineRule="auto"/>
        <w:rPr>
          <w:rFonts w:hint="eastAsia" w:ascii="仿宋" w:hAnsi="仿宋" w:eastAsia="仿宋"/>
          <w:sz w:val="24"/>
        </w:rPr>
      </w:pPr>
      <w:r>
        <w:rPr>
          <w:rFonts w:hint="eastAsia" w:ascii="仿宋" w:hAnsi="仿宋" w:eastAsia="仿宋"/>
          <w:sz w:val="24"/>
        </w:rPr>
        <w:t>1.每套实操试题配套《</w:t>
      </w:r>
      <w:r>
        <w:rPr>
          <w:rFonts w:hint="eastAsia" w:ascii="仿宋" w:hAnsi="仿宋" w:eastAsia="仿宋"/>
          <w:sz w:val="24"/>
          <w:lang w:eastAsia="zh-CN"/>
        </w:rPr>
        <w:t>服装水洗工</w:t>
      </w:r>
      <w:r>
        <w:rPr>
          <w:rFonts w:hint="eastAsia" w:ascii="仿宋" w:hAnsi="仿宋" w:eastAsia="仿宋"/>
          <w:sz w:val="24"/>
        </w:rPr>
        <w:t>实操工艺操作记录单》；</w:t>
      </w:r>
    </w:p>
    <w:p w14:paraId="7A075AF9">
      <w:pPr>
        <w:spacing w:line="360" w:lineRule="auto"/>
        <w:rPr>
          <w:rFonts w:hint="eastAsia" w:ascii="仿宋" w:hAnsi="仿宋" w:eastAsia="仿宋"/>
          <w:sz w:val="24"/>
        </w:rPr>
      </w:pPr>
      <w:r>
        <w:rPr>
          <w:rFonts w:hint="eastAsia" w:ascii="仿宋" w:hAnsi="仿宋" w:eastAsia="仿宋"/>
          <w:sz w:val="24"/>
        </w:rPr>
        <w:t>2.作业书、工艺单赛前统一放置工位，允许全程查阅，禁止涂改、撕毁、带离赛场；</w:t>
      </w:r>
    </w:p>
    <w:p w14:paraId="011036E7">
      <w:pPr>
        <w:spacing w:line="360" w:lineRule="auto"/>
        <w:rPr>
          <w:rFonts w:hint="eastAsia" w:ascii="仿宋" w:hAnsi="仿宋" w:eastAsia="仿宋"/>
          <w:sz w:val="24"/>
        </w:rPr>
      </w:pPr>
      <w:r>
        <w:rPr>
          <w:rFonts w:hint="eastAsia" w:ascii="仿宋" w:hAnsi="仿宋" w:eastAsia="仿宋"/>
          <w:sz w:val="24"/>
        </w:rPr>
        <w:t>3.竞赛结束后，试题、所有记录表格统一回收归档，作为评分复核依据。</w:t>
      </w:r>
    </w:p>
    <w:p w14:paraId="1D76EAAC">
      <w:pPr>
        <w:spacing w:line="360" w:lineRule="auto"/>
        <w:rPr>
          <w:rFonts w:hint="eastAsia" w:ascii="仿宋" w:hAnsi="仿宋" w:eastAsia="仿宋"/>
          <w:sz w:val="24"/>
        </w:rPr>
      </w:pPr>
      <w:r>
        <w:rPr>
          <w:rFonts w:hint="eastAsia" w:ascii="仿宋" w:hAnsi="仿宋" w:eastAsia="仿宋"/>
          <w:sz w:val="24"/>
        </w:rPr>
        <w:t>第六部分试题否定项统一规定（全模块通用）</w:t>
      </w:r>
    </w:p>
    <w:p w14:paraId="2FF5E3F6">
      <w:pPr>
        <w:spacing w:line="360" w:lineRule="auto"/>
        <w:rPr>
          <w:rFonts w:hint="eastAsia" w:ascii="仿宋" w:hAnsi="仿宋" w:eastAsia="仿宋"/>
          <w:sz w:val="24"/>
        </w:rPr>
      </w:pPr>
      <w:r>
        <w:rPr>
          <w:rFonts w:hint="eastAsia" w:ascii="仿宋" w:hAnsi="仿宋" w:eastAsia="仿宋"/>
          <w:sz w:val="24"/>
        </w:rPr>
        <w:t>1.选手违规操作引发化学品灼伤、蒸汽泄漏、设备漏电、火灾等安全险情，立即终止考核，本模块成绩记0分；</w:t>
      </w:r>
    </w:p>
    <w:p w14:paraId="45EAD2BE">
      <w:pPr>
        <w:spacing w:line="360" w:lineRule="auto"/>
        <w:rPr>
          <w:rFonts w:hint="eastAsia" w:ascii="仿宋" w:hAnsi="仿宋" w:eastAsia="仿宋"/>
          <w:sz w:val="24"/>
        </w:rPr>
      </w:pPr>
      <w:r>
        <w:rPr>
          <w:rFonts w:hint="eastAsia" w:ascii="仿宋" w:hAnsi="仿宋" w:eastAsia="仿宋"/>
          <w:sz w:val="24"/>
        </w:rPr>
        <w:t>2.操作失误造成洗脱机、天平、pH计等设备当场无法修复，对应实操模块清零；</w:t>
      </w:r>
    </w:p>
    <w:p w14:paraId="1D3818B7">
      <w:pPr>
        <w:spacing w:line="360" w:lineRule="auto"/>
        <w:rPr>
          <w:rFonts w:hint="eastAsia" w:ascii="仿宋" w:hAnsi="仿宋" w:eastAsia="仿宋"/>
          <w:sz w:val="24"/>
        </w:rPr>
      </w:pPr>
      <w:r>
        <w:rPr>
          <w:rFonts w:hint="eastAsia" w:ascii="仿宋" w:hAnsi="仿宋" w:eastAsia="仿宋"/>
          <w:sz w:val="24"/>
        </w:rPr>
        <w:t>3.擅自混合强酸强碱、氧化剂，产生有毒刺激性气体，取消本次大赛全部成绩；</w:t>
      </w:r>
    </w:p>
    <w:p w14:paraId="5E06D989">
      <w:pPr>
        <w:spacing w:line="360" w:lineRule="auto"/>
        <w:rPr>
          <w:rFonts w:hint="eastAsia" w:ascii="仿宋" w:hAnsi="仿宋" w:eastAsia="仿宋"/>
          <w:sz w:val="24"/>
        </w:rPr>
      </w:pPr>
      <w:r>
        <w:rPr>
          <w:rFonts w:hint="eastAsia" w:ascii="仿宋" w:hAnsi="仿宋" w:eastAsia="仿宋"/>
          <w:sz w:val="24"/>
        </w:rPr>
        <w:t>4.恶意浪费赛场助剂、损毁标准样板、藏匿带走竞赛成衣、浮石等物资，严重警告并扣20分。</w:t>
      </w:r>
    </w:p>
    <w:sectPr>
      <w:footerReference r:id="rId7" w:type="default"/>
      <w:pgSz w:w="11906" w:h="16838"/>
      <w:pgMar w:top="1247" w:right="1588" w:bottom="1247" w:left="158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E1221D88-E727-4F48-8972-8C3C667AF82E}"/>
  </w:font>
  <w:font w:name="Arial">
    <w:panose1 w:val="020B0604020202020204"/>
    <w:charset w:val="01"/>
    <w:family w:val="swiss"/>
    <w:pitch w:val="default"/>
    <w:sig w:usb0="E0002AFF" w:usb1="C0007843" w:usb2="00000009" w:usb3="00000000" w:csb0="400001FF" w:csb1="FFFF0000"/>
    <w:embedRegular r:id="rId2" w:fontKey="{62921277-2AAA-4B18-BF5C-2134F0762A2D}"/>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3D493A73-8361-4C26-88E7-F2AC9ABB92C9}"/>
  </w:font>
  <w:font w:name="Symbol">
    <w:panose1 w:val="05050102010706020507"/>
    <w:charset w:val="02"/>
    <w:family w:val="roman"/>
    <w:pitch w:val="default"/>
    <w:sig w:usb0="00000000" w:usb1="00000000" w:usb2="00000000" w:usb3="00000000" w:csb0="80000000" w:csb1="00000000"/>
    <w:embedRegular r:id="rId4" w:fontKey="{0D2C9BDF-74B4-4DC9-A3B8-E5E8B33B32C9}"/>
  </w:font>
  <w:font w:name="Calibri">
    <w:panose1 w:val="020F0502020204030204"/>
    <w:charset w:val="00"/>
    <w:family w:val="swiss"/>
    <w:pitch w:val="default"/>
    <w:sig w:usb0="E00002FF" w:usb1="4000ACFF" w:usb2="00000001" w:usb3="00000000" w:csb0="2000019F" w:csb1="00000000"/>
    <w:embedRegular r:id="rId5" w:fontKey="{8D7B426E-6E6A-426D-A67D-D75A542B83B3}"/>
  </w:font>
  <w:font w:name="Cambria">
    <w:panose1 w:val="02040503050406030204"/>
    <w:charset w:val="00"/>
    <w:family w:val="roman"/>
    <w:pitch w:val="default"/>
    <w:sig w:usb0="E00002FF" w:usb1="400004FF" w:usb2="00000000" w:usb3="00000000" w:csb0="2000019F" w:csb1="00000000"/>
    <w:embedRegular r:id="rId6" w:fontKey="{75E23222-E3FC-4340-8CC1-7207AB0FDBA5}"/>
  </w:font>
  <w:font w:name="方正仿宋_GB2312">
    <w:panose1 w:val="02000000000000000000"/>
    <w:charset w:val="86"/>
    <w:family w:val="auto"/>
    <w:pitch w:val="default"/>
    <w:sig w:usb0="A00002BF" w:usb1="184F6CFA" w:usb2="00000012" w:usb3="00000000" w:csb0="00040001" w:csb1="00000000"/>
    <w:embedRegular r:id="rId7" w:fontKey="{4DF88FB8-5EBB-4159-AF12-39E9EE0E6718}"/>
  </w:font>
  <w:font w:name="仿宋">
    <w:panose1 w:val="02010609060101010101"/>
    <w:charset w:val="86"/>
    <w:family w:val="modern"/>
    <w:pitch w:val="default"/>
    <w:sig w:usb0="800002BF" w:usb1="38CF7CFA" w:usb2="00000016" w:usb3="00000000" w:csb0="00040001" w:csb1="00000000"/>
    <w:embedRegular r:id="rId8" w:fontKey="{6DD5DD91-AEA0-4896-B5A9-8A9BF1092902}"/>
  </w:font>
  <w:font w:name="PMingLiU-ExtB">
    <w:panose1 w:val="02020500000000000000"/>
    <w:charset w:val="88"/>
    <w:family w:val="roman"/>
    <w:pitch w:val="default"/>
    <w:sig w:usb0="8000002F" w:usb1="02000008" w:usb2="00000000" w:usb3="00000000" w:csb0="00100001" w:csb1="00000000"/>
  </w:font>
  <w:font w:name="Ms.Luce">
    <w:panose1 w:val="00000400000000000000"/>
    <w:charset w:val="00"/>
    <w:family w:val="auto"/>
    <w:pitch w:val="default"/>
    <w:sig w:usb0="00000001" w:usb1="00000000" w:usb2="00000000" w:usb3="00000000" w:csb0="00000001" w:csb1="00000000"/>
    <w:embedRegular r:id="rId9" w:fontKey="{34C3919A-0058-4D5D-AE41-4996FBFF962F}"/>
  </w:font>
  <w:font w:name="Frutiger LT Pro 55 Roman">
    <w:panose1 w:val="020B0602020204020204"/>
    <w:charset w:val="00"/>
    <w:family w:val="auto"/>
    <w:pitch w:val="default"/>
    <w:sig w:usb0="A00000AF" w:usb1="5000204A" w:usb2="00000000" w:usb3="00000000" w:csb0="20000093" w:csb1="00000000"/>
    <w:embedRegular r:id="rId10" w:fontKey="{9817E494-E101-4EF4-A2C6-51EB7D05F9D1}"/>
  </w:font>
  <w:font w:name="方正仿宋_GB18030">
    <w:panose1 w:val="02000000000000000000"/>
    <w:charset w:val="86"/>
    <w:family w:val="auto"/>
    <w:pitch w:val="default"/>
    <w:sig w:usb0="00000001" w:usb1="08000000" w:usb2="00000000" w:usb3="00000000" w:csb0="00040000" w:csb1="00000000"/>
    <w:embedRegular r:id="rId11" w:fontKey="{81956A8D-B5E7-46AF-9E69-39A2B409A6F9}"/>
  </w:font>
  <w:font w:name="WPSEMBED1">
    <w:panose1 w:val="02000000000000000000"/>
    <w:charset w:val="86"/>
    <w:family w:val="auto"/>
    <w:pitch w:val="default"/>
    <w:sig w:usb0="A00002BF" w:usb1="184F6CFA" w:usb2="00000012" w:usb3="00000000" w:csb0="00040001" w:csb1="00000000"/>
  </w:font>
  <w:font w:name="WPSEMBED2">
    <w:panose1 w:val="00000400000000000000"/>
    <w:charset w:val="00"/>
    <w:family w:val="auto"/>
    <w:pitch w:val="default"/>
    <w:sig w:usb0="00000001" w:usb1="00000000" w:usb2="00000000" w:usb3="00000000" w:csb0="00000001" w:csb1="00000000"/>
    <w:embedRegular r:id="rId12" w:fontKey="{B58C4C38-6370-4102-BA08-F5FF042B98FE}"/>
  </w:font>
  <w:font w:name="WPSEMBED3">
    <w:panose1 w:val="020B0602020204020204"/>
    <w:charset w:val="00"/>
    <w:family w:val="auto"/>
    <w:pitch w:val="default"/>
    <w:sig w:usb0="A00000AF" w:usb1="5000204A" w:usb2="00000000" w:usb3="00000000" w:csb0="20000093" w:csb1="00000000"/>
    <w:embedRegular r:id="rId13" w:fontKey="{28488617-5ECE-4027-BE19-F2E89BBC93E9}"/>
  </w:font>
  <w:font w:name="WPSEMBED4">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F9384">
    <w:pPr>
      <w:pStyle w:val="9"/>
      <w:framePr w:wrap="around" w:vAnchor="text" w:hAnchor="margin" w:xAlign="center" w:y="1"/>
      <w:rPr>
        <w:rStyle w:val="20"/>
      </w:rPr>
    </w:pPr>
    <w:r>
      <w:fldChar w:fldCharType="begin"/>
    </w:r>
    <w:r>
      <w:rPr>
        <w:rStyle w:val="20"/>
      </w:rPr>
      <w:instrText xml:space="preserve">PAGE  </w:instrText>
    </w:r>
    <w:r>
      <w:fldChar w:fldCharType="end"/>
    </w:r>
  </w:p>
  <w:p w14:paraId="5B95B514">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58FA5">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02677">
    <w:pPr>
      <w:pStyle w:val="9"/>
      <w:jc w:val="center"/>
    </w:pPr>
    <w:r>
      <w:fldChar w:fldCharType="begin"/>
    </w:r>
    <w:r>
      <w:instrText xml:space="preserve">PAGE   \* MERGEFORMAT</w:instrText>
    </w:r>
    <w:r>
      <w:fldChar w:fldCharType="separate"/>
    </w:r>
    <w:r>
      <w:rPr>
        <w:lang w:val="zh-CN"/>
      </w:rPr>
      <w:t>1</w:t>
    </w:r>
    <w:r>
      <w:fldChar w:fldCharType="end"/>
    </w:r>
  </w:p>
  <w:p w14:paraId="1FA79CC7">
    <w:pPr>
      <w:pStyle w:val="9"/>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A51FA">
    <w:pPr>
      <w:pStyle w:val="9"/>
      <w:jc w:val="center"/>
    </w:pPr>
    <w:r>
      <w:fldChar w:fldCharType="begin"/>
    </w:r>
    <w:r>
      <w:instrText xml:space="preserve">PAGE   \* MERGEFORMAT</w:instrText>
    </w:r>
    <w:r>
      <w:fldChar w:fldCharType="separate"/>
    </w:r>
    <w:r>
      <w:rPr>
        <w:lang w:val="zh-CN"/>
      </w:rPr>
      <w:t>11</w:t>
    </w:r>
    <w:r>
      <w:fldChar w:fldCharType="end"/>
    </w:r>
  </w:p>
  <w:p w14:paraId="56649382">
    <w:pPr>
      <w:pStyle w:val="9"/>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DB8E9">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4E3B28"/>
    <w:multiLevelType w:val="singleLevel"/>
    <w:tmpl w:val="2D4E3B28"/>
    <w:lvl w:ilvl="0" w:tentative="0">
      <w:start w:val="1"/>
      <w:numFmt w:val="decimal"/>
      <w:suff w:val="nothing"/>
      <w:lvlText w:val="（%1）"/>
      <w:lvlJc w:val="left"/>
    </w:lvl>
  </w:abstractNum>
  <w:abstractNum w:abstractNumId="1">
    <w:nsid w:val="38C22832"/>
    <w:multiLevelType w:val="multilevel"/>
    <w:tmpl w:val="38C22832"/>
    <w:lvl w:ilvl="0" w:tentative="0">
      <w:start w:val="1"/>
      <w:numFmt w:val="bullet"/>
      <w:pStyle w:val="59"/>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65FA054D"/>
    <w:multiLevelType w:val="multilevel"/>
    <w:tmpl w:val="65FA054D"/>
    <w:lvl w:ilvl="0" w:tentative="0">
      <w:start w:val="0"/>
      <w:numFmt w:val="bullet"/>
      <w:pStyle w:val="76"/>
      <w:lvlText w:val="•"/>
      <w:lvlJc w:val="left"/>
      <w:pPr>
        <w:ind w:left="455" w:hanging="360"/>
      </w:pPr>
      <w:rPr>
        <w:rFonts w:hint="eastAsia" w:ascii="宋体" w:hAnsi="宋体" w:eastAsia="宋体" w:cs="宋体"/>
      </w:rPr>
    </w:lvl>
    <w:lvl w:ilvl="1" w:tentative="0">
      <w:start w:val="1"/>
      <w:numFmt w:val="bullet"/>
      <w:lvlText w:val=""/>
      <w:lvlJc w:val="left"/>
      <w:pPr>
        <w:ind w:left="935" w:hanging="420"/>
      </w:pPr>
      <w:rPr>
        <w:rFonts w:hint="default" w:ascii="Wingdings" w:hAnsi="Wingdings"/>
      </w:rPr>
    </w:lvl>
    <w:lvl w:ilvl="2" w:tentative="0">
      <w:start w:val="1"/>
      <w:numFmt w:val="bullet"/>
      <w:lvlText w:val=""/>
      <w:lvlJc w:val="left"/>
      <w:pPr>
        <w:ind w:left="1355" w:hanging="420"/>
      </w:pPr>
      <w:rPr>
        <w:rFonts w:hint="default" w:ascii="Wingdings" w:hAnsi="Wingdings"/>
      </w:rPr>
    </w:lvl>
    <w:lvl w:ilvl="3" w:tentative="0">
      <w:start w:val="1"/>
      <w:numFmt w:val="bullet"/>
      <w:lvlText w:val=""/>
      <w:lvlJc w:val="left"/>
      <w:pPr>
        <w:ind w:left="1775" w:hanging="420"/>
      </w:pPr>
      <w:rPr>
        <w:rFonts w:hint="default" w:ascii="Wingdings" w:hAnsi="Wingdings"/>
      </w:rPr>
    </w:lvl>
    <w:lvl w:ilvl="4" w:tentative="0">
      <w:start w:val="1"/>
      <w:numFmt w:val="bullet"/>
      <w:lvlText w:val=""/>
      <w:lvlJc w:val="left"/>
      <w:pPr>
        <w:ind w:left="2195" w:hanging="420"/>
      </w:pPr>
      <w:rPr>
        <w:rFonts w:hint="default" w:ascii="Wingdings" w:hAnsi="Wingdings"/>
      </w:rPr>
    </w:lvl>
    <w:lvl w:ilvl="5" w:tentative="0">
      <w:start w:val="1"/>
      <w:numFmt w:val="bullet"/>
      <w:lvlText w:val=""/>
      <w:lvlJc w:val="left"/>
      <w:pPr>
        <w:ind w:left="2615" w:hanging="420"/>
      </w:pPr>
      <w:rPr>
        <w:rFonts w:hint="default" w:ascii="Wingdings" w:hAnsi="Wingdings"/>
      </w:rPr>
    </w:lvl>
    <w:lvl w:ilvl="6" w:tentative="0">
      <w:start w:val="1"/>
      <w:numFmt w:val="bullet"/>
      <w:lvlText w:val=""/>
      <w:lvlJc w:val="left"/>
      <w:pPr>
        <w:ind w:left="3035" w:hanging="420"/>
      </w:pPr>
      <w:rPr>
        <w:rFonts w:hint="default" w:ascii="Wingdings" w:hAnsi="Wingdings"/>
      </w:rPr>
    </w:lvl>
    <w:lvl w:ilvl="7" w:tentative="0">
      <w:start w:val="1"/>
      <w:numFmt w:val="bullet"/>
      <w:lvlText w:val=""/>
      <w:lvlJc w:val="left"/>
      <w:pPr>
        <w:ind w:left="3455" w:hanging="420"/>
      </w:pPr>
      <w:rPr>
        <w:rFonts w:hint="default" w:ascii="Wingdings" w:hAnsi="Wingdings"/>
      </w:rPr>
    </w:lvl>
    <w:lvl w:ilvl="8" w:tentative="0">
      <w:start w:val="1"/>
      <w:numFmt w:val="bullet"/>
      <w:lvlText w:val=""/>
      <w:lvlJc w:val="left"/>
      <w:pPr>
        <w:ind w:left="3875" w:hanging="42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91"/>
  <w:drawingGridVerticalSpacing w:val="54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04126"/>
    <w:rsid w:val="00000B8A"/>
    <w:rsid w:val="000037BC"/>
    <w:rsid w:val="0000750B"/>
    <w:rsid w:val="00007711"/>
    <w:rsid w:val="00007E2A"/>
    <w:rsid w:val="00010DAC"/>
    <w:rsid w:val="00012AFF"/>
    <w:rsid w:val="000153DD"/>
    <w:rsid w:val="000175D7"/>
    <w:rsid w:val="000243B0"/>
    <w:rsid w:val="000347E1"/>
    <w:rsid w:val="000371AE"/>
    <w:rsid w:val="00041774"/>
    <w:rsid w:val="00055C78"/>
    <w:rsid w:val="000567D2"/>
    <w:rsid w:val="00060959"/>
    <w:rsid w:val="000618B0"/>
    <w:rsid w:val="000621F4"/>
    <w:rsid w:val="000631B4"/>
    <w:rsid w:val="000637CB"/>
    <w:rsid w:val="0006585B"/>
    <w:rsid w:val="00067AE7"/>
    <w:rsid w:val="00074DE6"/>
    <w:rsid w:val="0007660E"/>
    <w:rsid w:val="00080C6D"/>
    <w:rsid w:val="00081B74"/>
    <w:rsid w:val="000825B4"/>
    <w:rsid w:val="0008479E"/>
    <w:rsid w:val="000850AD"/>
    <w:rsid w:val="00086083"/>
    <w:rsid w:val="000877F5"/>
    <w:rsid w:val="00087B4B"/>
    <w:rsid w:val="000928C0"/>
    <w:rsid w:val="0009383C"/>
    <w:rsid w:val="00094852"/>
    <w:rsid w:val="000957AE"/>
    <w:rsid w:val="00095891"/>
    <w:rsid w:val="000A2B21"/>
    <w:rsid w:val="000A45D5"/>
    <w:rsid w:val="000A5394"/>
    <w:rsid w:val="000A53B0"/>
    <w:rsid w:val="000B1CB0"/>
    <w:rsid w:val="000B7518"/>
    <w:rsid w:val="000C1A64"/>
    <w:rsid w:val="000C29CA"/>
    <w:rsid w:val="000C443B"/>
    <w:rsid w:val="000C5AE4"/>
    <w:rsid w:val="000C71C9"/>
    <w:rsid w:val="000D0EAA"/>
    <w:rsid w:val="000D2E69"/>
    <w:rsid w:val="000D4DAD"/>
    <w:rsid w:val="000E4BA5"/>
    <w:rsid w:val="000E5B27"/>
    <w:rsid w:val="000E7558"/>
    <w:rsid w:val="000F25AD"/>
    <w:rsid w:val="000F38CE"/>
    <w:rsid w:val="000F51D5"/>
    <w:rsid w:val="000F522B"/>
    <w:rsid w:val="0010171B"/>
    <w:rsid w:val="001023E2"/>
    <w:rsid w:val="00102FA7"/>
    <w:rsid w:val="00107721"/>
    <w:rsid w:val="00110310"/>
    <w:rsid w:val="00111A58"/>
    <w:rsid w:val="00122331"/>
    <w:rsid w:val="00131059"/>
    <w:rsid w:val="00135ECC"/>
    <w:rsid w:val="00142528"/>
    <w:rsid w:val="001436F2"/>
    <w:rsid w:val="00150DB1"/>
    <w:rsid w:val="00150FD2"/>
    <w:rsid w:val="00157BDC"/>
    <w:rsid w:val="00157FA2"/>
    <w:rsid w:val="00164E57"/>
    <w:rsid w:val="00165A74"/>
    <w:rsid w:val="00166DE2"/>
    <w:rsid w:val="001709D8"/>
    <w:rsid w:val="00171C82"/>
    <w:rsid w:val="00171DE9"/>
    <w:rsid w:val="00172BAE"/>
    <w:rsid w:val="001732B1"/>
    <w:rsid w:val="00173CC9"/>
    <w:rsid w:val="00181D3C"/>
    <w:rsid w:val="00182FC3"/>
    <w:rsid w:val="001938B5"/>
    <w:rsid w:val="00194D71"/>
    <w:rsid w:val="00195B28"/>
    <w:rsid w:val="001960A1"/>
    <w:rsid w:val="00196822"/>
    <w:rsid w:val="001A19EF"/>
    <w:rsid w:val="001A4503"/>
    <w:rsid w:val="001A5CC7"/>
    <w:rsid w:val="001A613B"/>
    <w:rsid w:val="001A7AD2"/>
    <w:rsid w:val="001B260A"/>
    <w:rsid w:val="001B2FE3"/>
    <w:rsid w:val="001B3C60"/>
    <w:rsid w:val="001C660B"/>
    <w:rsid w:val="001C68DB"/>
    <w:rsid w:val="001C74C0"/>
    <w:rsid w:val="001C75F2"/>
    <w:rsid w:val="001D6043"/>
    <w:rsid w:val="001D60E5"/>
    <w:rsid w:val="001D62F0"/>
    <w:rsid w:val="001E365B"/>
    <w:rsid w:val="001E6028"/>
    <w:rsid w:val="001F566F"/>
    <w:rsid w:val="001F6E9E"/>
    <w:rsid w:val="002034FE"/>
    <w:rsid w:val="00206173"/>
    <w:rsid w:val="00207022"/>
    <w:rsid w:val="002104CC"/>
    <w:rsid w:val="0021202A"/>
    <w:rsid w:val="0021357F"/>
    <w:rsid w:val="002157B7"/>
    <w:rsid w:val="00216048"/>
    <w:rsid w:val="00217EFD"/>
    <w:rsid w:val="0022029A"/>
    <w:rsid w:val="00224A78"/>
    <w:rsid w:val="00225E3F"/>
    <w:rsid w:val="00234A42"/>
    <w:rsid w:val="00234D6D"/>
    <w:rsid w:val="002353CC"/>
    <w:rsid w:val="00235AEF"/>
    <w:rsid w:val="00242FCF"/>
    <w:rsid w:val="00243A7A"/>
    <w:rsid w:val="00244053"/>
    <w:rsid w:val="00245DEF"/>
    <w:rsid w:val="002550ED"/>
    <w:rsid w:val="00260E95"/>
    <w:rsid w:val="00261846"/>
    <w:rsid w:val="00262F5D"/>
    <w:rsid w:val="00263DE8"/>
    <w:rsid w:val="00265BFE"/>
    <w:rsid w:val="002704F9"/>
    <w:rsid w:val="0027233C"/>
    <w:rsid w:val="00274166"/>
    <w:rsid w:val="0027465C"/>
    <w:rsid w:val="002761C2"/>
    <w:rsid w:val="0028114D"/>
    <w:rsid w:val="00283A38"/>
    <w:rsid w:val="00283E9B"/>
    <w:rsid w:val="002875B5"/>
    <w:rsid w:val="00293452"/>
    <w:rsid w:val="00294C88"/>
    <w:rsid w:val="00296987"/>
    <w:rsid w:val="002A18FE"/>
    <w:rsid w:val="002B38C7"/>
    <w:rsid w:val="002B3C80"/>
    <w:rsid w:val="002B3F43"/>
    <w:rsid w:val="002C058B"/>
    <w:rsid w:val="002C1CCE"/>
    <w:rsid w:val="002C4E7C"/>
    <w:rsid w:val="002C5C6C"/>
    <w:rsid w:val="002D0091"/>
    <w:rsid w:val="002D261E"/>
    <w:rsid w:val="002D5F77"/>
    <w:rsid w:val="002D6B78"/>
    <w:rsid w:val="002E0B37"/>
    <w:rsid w:val="002E10A8"/>
    <w:rsid w:val="002E2C00"/>
    <w:rsid w:val="002E39BE"/>
    <w:rsid w:val="002F1424"/>
    <w:rsid w:val="002F1A04"/>
    <w:rsid w:val="002F253F"/>
    <w:rsid w:val="002F29BD"/>
    <w:rsid w:val="002F4DD5"/>
    <w:rsid w:val="0030036F"/>
    <w:rsid w:val="00302F97"/>
    <w:rsid w:val="00303A46"/>
    <w:rsid w:val="00311832"/>
    <w:rsid w:val="003121D2"/>
    <w:rsid w:val="00316469"/>
    <w:rsid w:val="00320D15"/>
    <w:rsid w:val="00321C48"/>
    <w:rsid w:val="0032351C"/>
    <w:rsid w:val="00330190"/>
    <w:rsid w:val="0033073F"/>
    <w:rsid w:val="00332AB4"/>
    <w:rsid w:val="00333EC6"/>
    <w:rsid w:val="0034540F"/>
    <w:rsid w:val="00346678"/>
    <w:rsid w:val="003466F2"/>
    <w:rsid w:val="003500D7"/>
    <w:rsid w:val="00352B1F"/>
    <w:rsid w:val="00360263"/>
    <w:rsid w:val="00363245"/>
    <w:rsid w:val="0037632E"/>
    <w:rsid w:val="003770D2"/>
    <w:rsid w:val="003771E8"/>
    <w:rsid w:val="00382662"/>
    <w:rsid w:val="0039419D"/>
    <w:rsid w:val="003A0C63"/>
    <w:rsid w:val="003A1289"/>
    <w:rsid w:val="003A71B5"/>
    <w:rsid w:val="003A76FA"/>
    <w:rsid w:val="003B0164"/>
    <w:rsid w:val="003B0C06"/>
    <w:rsid w:val="003B3710"/>
    <w:rsid w:val="003B3A4E"/>
    <w:rsid w:val="003B50F6"/>
    <w:rsid w:val="003B56F0"/>
    <w:rsid w:val="003C4145"/>
    <w:rsid w:val="003D15D2"/>
    <w:rsid w:val="003D1C30"/>
    <w:rsid w:val="003D210F"/>
    <w:rsid w:val="003D38C1"/>
    <w:rsid w:val="003D399E"/>
    <w:rsid w:val="003D46CF"/>
    <w:rsid w:val="003D4C34"/>
    <w:rsid w:val="003D4E76"/>
    <w:rsid w:val="003D7744"/>
    <w:rsid w:val="003E4C5D"/>
    <w:rsid w:val="003E64D6"/>
    <w:rsid w:val="003E70F7"/>
    <w:rsid w:val="003F0C1B"/>
    <w:rsid w:val="00400D77"/>
    <w:rsid w:val="00402FD2"/>
    <w:rsid w:val="0040393D"/>
    <w:rsid w:val="00404056"/>
    <w:rsid w:val="00404126"/>
    <w:rsid w:val="004047D6"/>
    <w:rsid w:val="004102E9"/>
    <w:rsid w:val="00413419"/>
    <w:rsid w:val="004168F8"/>
    <w:rsid w:val="00417338"/>
    <w:rsid w:val="0042299B"/>
    <w:rsid w:val="004270D5"/>
    <w:rsid w:val="00434424"/>
    <w:rsid w:val="004344CA"/>
    <w:rsid w:val="0043649C"/>
    <w:rsid w:val="004437E7"/>
    <w:rsid w:val="00444AA0"/>
    <w:rsid w:val="00452A80"/>
    <w:rsid w:val="004554DD"/>
    <w:rsid w:val="004565A3"/>
    <w:rsid w:val="00457244"/>
    <w:rsid w:val="004573E5"/>
    <w:rsid w:val="0045779D"/>
    <w:rsid w:val="00474F2E"/>
    <w:rsid w:val="004779B7"/>
    <w:rsid w:val="0048429D"/>
    <w:rsid w:val="0048663A"/>
    <w:rsid w:val="00494940"/>
    <w:rsid w:val="00495432"/>
    <w:rsid w:val="00495AB4"/>
    <w:rsid w:val="004B025D"/>
    <w:rsid w:val="004C0B4D"/>
    <w:rsid w:val="004C2B48"/>
    <w:rsid w:val="004C484D"/>
    <w:rsid w:val="004C4E1E"/>
    <w:rsid w:val="004C623F"/>
    <w:rsid w:val="004C6C87"/>
    <w:rsid w:val="004D622F"/>
    <w:rsid w:val="004D764F"/>
    <w:rsid w:val="004E10E9"/>
    <w:rsid w:val="004E3E38"/>
    <w:rsid w:val="004E4162"/>
    <w:rsid w:val="004E5ACB"/>
    <w:rsid w:val="004E5CAF"/>
    <w:rsid w:val="004F0B8C"/>
    <w:rsid w:val="004F0E59"/>
    <w:rsid w:val="004F11EF"/>
    <w:rsid w:val="004F1E0F"/>
    <w:rsid w:val="004F58AD"/>
    <w:rsid w:val="004F7749"/>
    <w:rsid w:val="004F7774"/>
    <w:rsid w:val="00500219"/>
    <w:rsid w:val="00500586"/>
    <w:rsid w:val="00502971"/>
    <w:rsid w:val="005059F6"/>
    <w:rsid w:val="00506A40"/>
    <w:rsid w:val="00511275"/>
    <w:rsid w:val="0051156F"/>
    <w:rsid w:val="00514FE5"/>
    <w:rsid w:val="00516A2F"/>
    <w:rsid w:val="00516DB2"/>
    <w:rsid w:val="00523650"/>
    <w:rsid w:val="00532F2B"/>
    <w:rsid w:val="00534D4E"/>
    <w:rsid w:val="00536C56"/>
    <w:rsid w:val="00540F69"/>
    <w:rsid w:val="00541C91"/>
    <w:rsid w:val="00544125"/>
    <w:rsid w:val="005471AC"/>
    <w:rsid w:val="005501B3"/>
    <w:rsid w:val="005521E0"/>
    <w:rsid w:val="00554E2B"/>
    <w:rsid w:val="005556FD"/>
    <w:rsid w:val="00557E4F"/>
    <w:rsid w:val="00560604"/>
    <w:rsid w:val="00562ABF"/>
    <w:rsid w:val="00564EB0"/>
    <w:rsid w:val="00565F44"/>
    <w:rsid w:val="005664D6"/>
    <w:rsid w:val="00566C98"/>
    <w:rsid w:val="00570E14"/>
    <w:rsid w:val="00573475"/>
    <w:rsid w:val="00577F24"/>
    <w:rsid w:val="00582A35"/>
    <w:rsid w:val="00583CF2"/>
    <w:rsid w:val="00584D9C"/>
    <w:rsid w:val="005851FF"/>
    <w:rsid w:val="005861D8"/>
    <w:rsid w:val="00587BB4"/>
    <w:rsid w:val="00587EDB"/>
    <w:rsid w:val="005926E1"/>
    <w:rsid w:val="00594E4A"/>
    <w:rsid w:val="005966E5"/>
    <w:rsid w:val="005A0AF2"/>
    <w:rsid w:val="005A1DFD"/>
    <w:rsid w:val="005A228A"/>
    <w:rsid w:val="005A3A48"/>
    <w:rsid w:val="005A3D50"/>
    <w:rsid w:val="005A7CAE"/>
    <w:rsid w:val="005B1D8F"/>
    <w:rsid w:val="005B2C00"/>
    <w:rsid w:val="005B4102"/>
    <w:rsid w:val="005B6A69"/>
    <w:rsid w:val="005B7E03"/>
    <w:rsid w:val="005C1B54"/>
    <w:rsid w:val="005C2554"/>
    <w:rsid w:val="005C3F54"/>
    <w:rsid w:val="005C51EC"/>
    <w:rsid w:val="005D064E"/>
    <w:rsid w:val="005D4AB4"/>
    <w:rsid w:val="005D682B"/>
    <w:rsid w:val="005D6FDD"/>
    <w:rsid w:val="005D7158"/>
    <w:rsid w:val="005E0E43"/>
    <w:rsid w:val="005E4567"/>
    <w:rsid w:val="005E46C1"/>
    <w:rsid w:val="005E5121"/>
    <w:rsid w:val="005E7CB1"/>
    <w:rsid w:val="005F36B1"/>
    <w:rsid w:val="005F3FEE"/>
    <w:rsid w:val="005F4567"/>
    <w:rsid w:val="005F4DA2"/>
    <w:rsid w:val="005F5033"/>
    <w:rsid w:val="005F5884"/>
    <w:rsid w:val="005F6F4B"/>
    <w:rsid w:val="006002B3"/>
    <w:rsid w:val="00603592"/>
    <w:rsid w:val="0060404D"/>
    <w:rsid w:val="00604292"/>
    <w:rsid w:val="006047F6"/>
    <w:rsid w:val="00612445"/>
    <w:rsid w:val="006129BA"/>
    <w:rsid w:val="006130BF"/>
    <w:rsid w:val="006133FC"/>
    <w:rsid w:val="00615EA8"/>
    <w:rsid w:val="00616EA0"/>
    <w:rsid w:val="006205CD"/>
    <w:rsid w:val="00621146"/>
    <w:rsid w:val="006220E5"/>
    <w:rsid w:val="00623704"/>
    <w:rsid w:val="00626178"/>
    <w:rsid w:val="006264F0"/>
    <w:rsid w:val="00634C88"/>
    <w:rsid w:val="00635B31"/>
    <w:rsid w:val="00635F71"/>
    <w:rsid w:val="00637AF5"/>
    <w:rsid w:val="0064052D"/>
    <w:rsid w:val="006421E6"/>
    <w:rsid w:val="00642C8A"/>
    <w:rsid w:val="00655124"/>
    <w:rsid w:val="006553D5"/>
    <w:rsid w:val="0065551D"/>
    <w:rsid w:val="00655A49"/>
    <w:rsid w:val="00657A4C"/>
    <w:rsid w:val="00657CA0"/>
    <w:rsid w:val="00661FF7"/>
    <w:rsid w:val="00663B8C"/>
    <w:rsid w:val="00665308"/>
    <w:rsid w:val="00674FFB"/>
    <w:rsid w:val="00675A0D"/>
    <w:rsid w:val="00681FF2"/>
    <w:rsid w:val="00685DCF"/>
    <w:rsid w:val="006901CB"/>
    <w:rsid w:val="00693B5E"/>
    <w:rsid w:val="006A26E8"/>
    <w:rsid w:val="006A2788"/>
    <w:rsid w:val="006A5B22"/>
    <w:rsid w:val="006A61E9"/>
    <w:rsid w:val="006B0D0C"/>
    <w:rsid w:val="006B421C"/>
    <w:rsid w:val="006C0904"/>
    <w:rsid w:val="006C4E66"/>
    <w:rsid w:val="006C6DC4"/>
    <w:rsid w:val="006D25D0"/>
    <w:rsid w:val="006D284C"/>
    <w:rsid w:val="006E76F7"/>
    <w:rsid w:val="006F2D46"/>
    <w:rsid w:val="006F7319"/>
    <w:rsid w:val="007043A0"/>
    <w:rsid w:val="00710717"/>
    <w:rsid w:val="007126FE"/>
    <w:rsid w:val="00715F4A"/>
    <w:rsid w:val="0072165F"/>
    <w:rsid w:val="00725791"/>
    <w:rsid w:val="00726ADE"/>
    <w:rsid w:val="00730270"/>
    <w:rsid w:val="007333D6"/>
    <w:rsid w:val="00741654"/>
    <w:rsid w:val="00742EC9"/>
    <w:rsid w:val="00743494"/>
    <w:rsid w:val="00746C4D"/>
    <w:rsid w:val="00750C0E"/>
    <w:rsid w:val="00751FFD"/>
    <w:rsid w:val="007543B1"/>
    <w:rsid w:val="00756627"/>
    <w:rsid w:val="007610C2"/>
    <w:rsid w:val="00761858"/>
    <w:rsid w:val="0077561F"/>
    <w:rsid w:val="00776948"/>
    <w:rsid w:val="0077747F"/>
    <w:rsid w:val="00783CDA"/>
    <w:rsid w:val="00786350"/>
    <w:rsid w:val="00791C76"/>
    <w:rsid w:val="00794B90"/>
    <w:rsid w:val="007A2B82"/>
    <w:rsid w:val="007A5E90"/>
    <w:rsid w:val="007A7397"/>
    <w:rsid w:val="007A7D99"/>
    <w:rsid w:val="007B5906"/>
    <w:rsid w:val="007B6D1A"/>
    <w:rsid w:val="007C0903"/>
    <w:rsid w:val="007C405C"/>
    <w:rsid w:val="007C6233"/>
    <w:rsid w:val="007C62C0"/>
    <w:rsid w:val="007D3DEE"/>
    <w:rsid w:val="007D7194"/>
    <w:rsid w:val="007E01E2"/>
    <w:rsid w:val="007E0D24"/>
    <w:rsid w:val="007E4B29"/>
    <w:rsid w:val="007E78A9"/>
    <w:rsid w:val="007F11A1"/>
    <w:rsid w:val="007F3BFD"/>
    <w:rsid w:val="007F4626"/>
    <w:rsid w:val="007F5DF3"/>
    <w:rsid w:val="007F6C55"/>
    <w:rsid w:val="00800F2A"/>
    <w:rsid w:val="00800F5D"/>
    <w:rsid w:val="00802083"/>
    <w:rsid w:val="00802A18"/>
    <w:rsid w:val="008055D4"/>
    <w:rsid w:val="00813A28"/>
    <w:rsid w:val="00814537"/>
    <w:rsid w:val="008157B1"/>
    <w:rsid w:val="00817AC4"/>
    <w:rsid w:val="00820226"/>
    <w:rsid w:val="0082094F"/>
    <w:rsid w:val="00821FAA"/>
    <w:rsid w:val="00827DE2"/>
    <w:rsid w:val="00830A15"/>
    <w:rsid w:val="00833564"/>
    <w:rsid w:val="008341C6"/>
    <w:rsid w:val="008379C8"/>
    <w:rsid w:val="00840231"/>
    <w:rsid w:val="008429A3"/>
    <w:rsid w:val="00843433"/>
    <w:rsid w:val="00843D1F"/>
    <w:rsid w:val="00845A93"/>
    <w:rsid w:val="00846C9B"/>
    <w:rsid w:val="00852499"/>
    <w:rsid w:val="00860FE2"/>
    <w:rsid w:val="008635E0"/>
    <w:rsid w:val="00863DED"/>
    <w:rsid w:val="00863F7D"/>
    <w:rsid w:val="008649D5"/>
    <w:rsid w:val="0086681C"/>
    <w:rsid w:val="00867FB8"/>
    <w:rsid w:val="00877AB9"/>
    <w:rsid w:val="008849E0"/>
    <w:rsid w:val="00885FE2"/>
    <w:rsid w:val="00886BCD"/>
    <w:rsid w:val="00892605"/>
    <w:rsid w:val="00894AC7"/>
    <w:rsid w:val="008977A7"/>
    <w:rsid w:val="008A17B8"/>
    <w:rsid w:val="008A6DC9"/>
    <w:rsid w:val="008B1314"/>
    <w:rsid w:val="008B6D82"/>
    <w:rsid w:val="008C09DB"/>
    <w:rsid w:val="008C2C46"/>
    <w:rsid w:val="008C6A68"/>
    <w:rsid w:val="008D4FC8"/>
    <w:rsid w:val="008D69B8"/>
    <w:rsid w:val="008D7E50"/>
    <w:rsid w:val="008E4250"/>
    <w:rsid w:val="008E4E3C"/>
    <w:rsid w:val="008F156A"/>
    <w:rsid w:val="008F1D39"/>
    <w:rsid w:val="008F2B4F"/>
    <w:rsid w:val="00903E0B"/>
    <w:rsid w:val="00904185"/>
    <w:rsid w:val="00907607"/>
    <w:rsid w:val="00907DD8"/>
    <w:rsid w:val="00910534"/>
    <w:rsid w:val="00910807"/>
    <w:rsid w:val="0091690A"/>
    <w:rsid w:val="009174B3"/>
    <w:rsid w:val="0092245B"/>
    <w:rsid w:val="0092338C"/>
    <w:rsid w:val="0092474C"/>
    <w:rsid w:val="0093152E"/>
    <w:rsid w:val="00931C28"/>
    <w:rsid w:val="00942D09"/>
    <w:rsid w:val="00945C19"/>
    <w:rsid w:val="00950B95"/>
    <w:rsid w:val="00950DA2"/>
    <w:rsid w:val="009527ED"/>
    <w:rsid w:val="0095351A"/>
    <w:rsid w:val="009708D4"/>
    <w:rsid w:val="0097131B"/>
    <w:rsid w:val="00971FFD"/>
    <w:rsid w:val="0097421B"/>
    <w:rsid w:val="009762C3"/>
    <w:rsid w:val="00980650"/>
    <w:rsid w:val="00981A2D"/>
    <w:rsid w:val="0099173A"/>
    <w:rsid w:val="00995324"/>
    <w:rsid w:val="009A1A8B"/>
    <w:rsid w:val="009A538D"/>
    <w:rsid w:val="009A794F"/>
    <w:rsid w:val="009B378B"/>
    <w:rsid w:val="009B3F6C"/>
    <w:rsid w:val="009B5FF4"/>
    <w:rsid w:val="009B6C68"/>
    <w:rsid w:val="009C4793"/>
    <w:rsid w:val="009C64C0"/>
    <w:rsid w:val="009D3E71"/>
    <w:rsid w:val="009D4003"/>
    <w:rsid w:val="009D44F8"/>
    <w:rsid w:val="009D529D"/>
    <w:rsid w:val="009E14FF"/>
    <w:rsid w:val="009E2FE0"/>
    <w:rsid w:val="009E309C"/>
    <w:rsid w:val="009E5DB8"/>
    <w:rsid w:val="009F1A8A"/>
    <w:rsid w:val="009F2757"/>
    <w:rsid w:val="009F4181"/>
    <w:rsid w:val="009F7035"/>
    <w:rsid w:val="00A00361"/>
    <w:rsid w:val="00A00658"/>
    <w:rsid w:val="00A10075"/>
    <w:rsid w:val="00A15CD6"/>
    <w:rsid w:val="00A15FD9"/>
    <w:rsid w:val="00A17BFC"/>
    <w:rsid w:val="00A20591"/>
    <w:rsid w:val="00A23B23"/>
    <w:rsid w:val="00A267B4"/>
    <w:rsid w:val="00A308A2"/>
    <w:rsid w:val="00A32EE2"/>
    <w:rsid w:val="00A3668D"/>
    <w:rsid w:val="00A408BC"/>
    <w:rsid w:val="00A410A3"/>
    <w:rsid w:val="00A42EC5"/>
    <w:rsid w:val="00A44766"/>
    <w:rsid w:val="00A4671C"/>
    <w:rsid w:val="00A47717"/>
    <w:rsid w:val="00A518B2"/>
    <w:rsid w:val="00A51A38"/>
    <w:rsid w:val="00A52AAD"/>
    <w:rsid w:val="00A53552"/>
    <w:rsid w:val="00A541CB"/>
    <w:rsid w:val="00A55A27"/>
    <w:rsid w:val="00A649EA"/>
    <w:rsid w:val="00A6662F"/>
    <w:rsid w:val="00A70633"/>
    <w:rsid w:val="00A721B5"/>
    <w:rsid w:val="00A74CC0"/>
    <w:rsid w:val="00A81665"/>
    <w:rsid w:val="00A840FB"/>
    <w:rsid w:val="00A8502E"/>
    <w:rsid w:val="00A863D8"/>
    <w:rsid w:val="00A90D98"/>
    <w:rsid w:val="00A93AD7"/>
    <w:rsid w:val="00A9453C"/>
    <w:rsid w:val="00A9609E"/>
    <w:rsid w:val="00A97CDF"/>
    <w:rsid w:val="00AA4DAF"/>
    <w:rsid w:val="00AA70F0"/>
    <w:rsid w:val="00AB1949"/>
    <w:rsid w:val="00AB39B4"/>
    <w:rsid w:val="00AB73D9"/>
    <w:rsid w:val="00AC0D56"/>
    <w:rsid w:val="00AC5888"/>
    <w:rsid w:val="00AD4C07"/>
    <w:rsid w:val="00AD63AA"/>
    <w:rsid w:val="00AD6956"/>
    <w:rsid w:val="00AE19CA"/>
    <w:rsid w:val="00AE2B99"/>
    <w:rsid w:val="00AF1D6D"/>
    <w:rsid w:val="00AF5844"/>
    <w:rsid w:val="00B03CD1"/>
    <w:rsid w:val="00B041F0"/>
    <w:rsid w:val="00B10FCD"/>
    <w:rsid w:val="00B126F7"/>
    <w:rsid w:val="00B13BFD"/>
    <w:rsid w:val="00B141CF"/>
    <w:rsid w:val="00B177BF"/>
    <w:rsid w:val="00B17B5A"/>
    <w:rsid w:val="00B17D9F"/>
    <w:rsid w:val="00B17DC2"/>
    <w:rsid w:val="00B20D42"/>
    <w:rsid w:val="00B25481"/>
    <w:rsid w:val="00B3169F"/>
    <w:rsid w:val="00B3210E"/>
    <w:rsid w:val="00B34207"/>
    <w:rsid w:val="00B402DC"/>
    <w:rsid w:val="00B416D2"/>
    <w:rsid w:val="00B42775"/>
    <w:rsid w:val="00B4332C"/>
    <w:rsid w:val="00B436FC"/>
    <w:rsid w:val="00B46E8A"/>
    <w:rsid w:val="00B51327"/>
    <w:rsid w:val="00B63085"/>
    <w:rsid w:val="00B7155E"/>
    <w:rsid w:val="00B753B2"/>
    <w:rsid w:val="00B76103"/>
    <w:rsid w:val="00B7639F"/>
    <w:rsid w:val="00B76C07"/>
    <w:rsid w:val="00B76FBA"/>
    <w:rsid w:val="00B80060"/>
    <w:rsid w:val="00B85B04"/>
    <w:rsid w:val="00B87EA7"/>
    <w:rsid w:val="00B96EA2"/>
    <w:rsid w:val="00BA0F68"/>
    <w:rsid w:val="00BA6788"/>
    <w:rsid w:val="00BB6ABA"/>
    <w:rsid w:val="00BB6CEF"/>
    <w:rsid w:val="00BC20DD"/>
    <w:rsid w:val="00BC5186"/>
    <w:rsid w:val="00BD0512"/>
    <w:rsid w:val="00BD08D8"/>
    <w:rsid w:val="00BD18DD"/>
    <w:rsid w:val="00BD2993"/>
    <w:rsid w:val="00BD5D0E"/>
    <w:rsid w:val="00BD7373"/>
    <w:rsid w:val="00BE1009"/>
    <w:rsid w:val="00BE15FB"/>
    <w:rsid w:val="00BF1B5F"/>
    <w:rsid w:val="00BF60B9"/>
    <w:rsid w:val="00C00F94"/>
    <w:rsid w:val="00C070AE"/>
    <w:rsid w:val="00C07AEB"/>
    <w:rsid w:val="00C1416B"/>
    <w:rsid w:val="00C219B0"/>
    <w:rsid w:val="00C21B2A"/>
    <w:rsid w:val="00C33315"/>
    <w:rsid w:val="00C4084A"/>
    <w:rsid w:val="00C408C8"/>
    <w:rsid w:val="00C40E3D"/>
    <w:rsid w:val="00C43C02"/>
    <w:rsid w:val="00C44252"/>
    <w:rsid w:val="00C466CA"/>
    <w:rsid w:val="00C47B13"/>
    <w:rsid w:val="00C50805"/>
    <w:rsid w:val="00C60472"/>
    <w:rsid w:val="00C62A90"/>
    <w:rsid w:val="00C669B7"/>
    <w:rsid w:val="00C73964"/>
    <w:rsid w:val="00C77A4A"/>
    <w:rsid w:val="00C81EC3"/>
    <w:rsid w:val="00C82F9E"/>
    <w:rsid w:val="00C85064"/>
    <w:rsid w:val="00C86450"/>
    <w:rsid w:val="00C87753"/>
    <w:rsid w:val="00C87AD8"/>
    <w:rsid w:val="00C90113"/>
    <w:rsid w:val="00C95579"/>
    <w:rsid w:val="00C95A8F"/>
    <w:rsid w:val="00CA1232"/>
    <w:rsid w:val="00CA241F"/>
    <w:rsid w:val="00CA3C52"/>
    <w:rsid w:val="00CA4A28"/>
    <w:rsid w:val="00CA79B8"/>
    <w:rsid w:val="00CB033C"/>
    <w:rsid w:val="00CC6D2F"/>
    <w:rsid w:val="00CD0467"/>
    <w:rsid w:val="00CD571C"/>
    <w:rsid w:val="00CD5DA3"/>
    <w:rsid w:val="00CD6C72"/>
    <w:rsid w:val="00CD6F38"/>
    <w:rsid w:val="00CE4E96"/>
    <w:rsid w:val="00CE519B"/>
    <w:rsid w:val="00CF137E"/>
    <w:rsid w:val="00CF1D69"/>
    <w:rsid w:val="00CF47FF"/>
    <w:rsid w:val="00D00CAF"/>
    <w:rsid w:val="00D02DED"/>
    <w:rsid w:val="00D053C9"/>
    <w:rsid w:val="00D05FCD"/>
    <w:rsid w:val="00D148B3"/>
    <w:rsid w:val="00D17926"/>
    <w:rsid w:val="00D25421"/>
    <w:rsid w:val="00D3065A"/>
    <w:rsid w:val="00D311C0"/>
    <w:rsid w:val="00D315B1"/>
    <w:rsid w:val="00D34A45"/>
    <w:rsid w:val="00D36888"/>
    <w:rsid w:val="00D37933"/>
    <w:rsid w:val="00D40DB9"/>
    <w:rsid w:val="00D42818"/>
    <w:rsid w:val="00D441B3"/>
    <w:rsid w:val="00D44561"/>
    <w:rsid w:val="00D46AC5"/>
    <w:rsid w:val="00D51394"/>
    <w:rsid w:val="00D55875"/>
    <w:rsid w:val="00D63A82"/>
    <w:rsid w:val="00D63BEC"/>
    <w:rsid w:val="00D70272"/>
    <w:rsid w:val="00D7179F"/>
    <w:rsid w:val="00D7217B"/>
    <w:rsid w:val="00D73118"/>
    <w:rsid w:val="00D7345F"/>
    <w:rsid w:val="00D80DE0"/>
    <w:rsid w:val="00D82933"/>
    <w:rsid w:val="00D836D1"/>
    <w:rsid w:val="00D83C09"/>
    <w:rsid w:val="00D86ABF"/>
    <w:rsid w:val="00D927E8"/>
    <w:rsid w:val="00D93776"/>
    <w:rsid w:val="00D9684D"/>
    <w:rsid w:val="00D97C74"/>
    <w:rsid w:val="00DA0C1F"/>
    <w:rsid w:val="00DA2AB0"/>
    <w:rsid w:val="00DA4528"/>
    <w:rsid w:val="00DB254F"/>
    <w:rsid w:val="00DB293A"/>
    <w:rsid w:val="00DB38FC"/>
    <w:rsid w:val="00DB3E44"/>
    <w:rsid w:val="00DC0A21"/>
    <w:rsid w:val="00DC4B9E"/>
    <w:rsid w:val="00DC6B0C"/>
    <w:rsid w:val="00DC7854"/>
    <w:rsid w:val="00DC7B6A"/>
    <w:rsid w:val="00DD364A"/>
    <w:rsid w:val="00DD4D7B"/>
    <w:rsid w:val="00DE01D6"/>
    <w:rsid w:val="00DE1B49"/>
    <w:rsid w:val="00DE623E"/>
    <w:rsid w:val="00DF2AFF"/>
    <w:rsid w:val="00DF4200"/>
    <w:rsid w:val="00DF58BF"/>
    <w:rsid w:val="00DF6B30"/>
    <w:rsid w:val="00E01A2D"/>
    <w:rsid w:val="00E03F23"/>
    <w:rsid w:val="00E06684"/>
    <w:rsid w:val="00E06C3B"/>
    <w:rsid w:val="00E06D2F"/>
    <w:rsid w:val="00E11A39"/>
    <w:rsid w:val="00E13B55"/>
    <w:rsid w:val="00E15266"/>
    <w:rsid w:val="00E15DDC"/>
    <w:rsid w:val="00E1757F"/>
    <w:rsid w:val="00E22298"/>
    <w:rsid w:val="00E22444"/>
    <w:rsid w:val="00E274F1"/>
    <w:rsid w:val="00E30244"/>
    <w:rsid w:val="00E302ED"/>
    <w:rsid w:val="00E3059D"/>
    <w:rsid w:val="00E31B96"/>
    <w:rsid w:val="00E321C4"/>
    <w:rsid w:val="00E4061C"/>
    <w:rsid w:val="00E451AB"/>
    <w:rsid w:val="00E57634"/>
    <w:rsid w:val="00E605B5"/>
    <w:rsid w:val="00E61D7C"/>
    <w:rsid w:val="00E63827"/>
    <w:rsid w:val="00E7292E"/>
    <w:rsid w:val="00E762D8"/>
    <w:rsid w:val="00E763A3"/>
    <w:rsid w:val="00E85FB6"/>
    <w:rsid w:val="00E90A35"/>
    <w:rsid w:val="00E92C22"/>
    <w:rsid w:val="00E935A0"/>
    <w:rsid w:val="00E937CA"/>
    <w:rsid w:val="00E9440F"/>
    <w:rsid w:val="00EA0702"/>
    <w:rsid w:val="00EA465D"/>
    <w:rsid w:val="00EA6481"/>
    <w:rsid w:val="00EA7AC6"/>
    <w:rsid w:val="00EB01F4"/>
    <w:rsid w:val="00EB3C35"/>
    <w:rsid w:val="00EB4EAB"/>
    <w:rsid w:val="00EC2AD7"/>
    <w:rsid w:val="00EC4CC5"/>
    <w:rsid w:val="00EC71F6"/>
    <w:rsid w:val="00EC7BD4"/>
    <w:rsid w:val="00EC7DEC"/>
    <w:rsid w:val="00ED06E0"/>
    <w:rsid w:val="00ED13C3"/>
    <w:rsid w:val="00ED367A"/>
    <w:rsid w:val="00EE4AC8"/>
    <w:rsid w:val="00EE4D71"/>
    <w:rsid w:val="00EE4DA8"/>
    <w:rsid w:val="00EF1D5C"/>
    <w:rsid w:val="00F00E43"/>
    <w:rsid w:val="00F0104E"/>
    <w:rsid w:val="00F04089"/>
    <w:rsid w:val="00F075FB"/>
    <w:rsid w:val="00F1283D"/>
    <w:rsid w:val="00F12FAD"/>
    <w:rsid w:val="00F178C1"/>
    <w:rsid w:val="00F2290A"/>
    <w:rsid w:val="00F275A8"/>
    <w:rsid w:val="00F348E4"/>
    <w:rsid w:val="00F367DB"/>
    <w:rsid w:val="00F400E2"/>
    <w:rsid w:val="00F42C9C"/>
    <w:rsid w:val="00F46E91"/>
    <w:rsid w:val="00F513DF"/>
    <w:rsid w:val="00F53755"/>
    <w:rsid w:val="00F55554"/>
    <w:rsid w:val="00F600F2"/>
    <w:rsid w:val="00F633BD"/>
    <w:rsid w:val="00F65D10"/>
    <w:rsid w:val="00F719DE"/>
    <w:rsid w:val="00F9011D"/>
    <w:rsid w:val="00F91151"/>
    <w:rsid w:val="00F926AC"/>
    <w:rsid w:val="00F927EA"/>
    <w:rsid w:val="00F96D34"/>
    <w:rsid w:val="00FA2A1C"/>
    <w:rsid w:val="00FA4831"/>
    <w:rsid w:val="00FB0B27"/>
    <w:rsid w:val="00FB14F0"/>
    <w:rsid w:val="00FB45B9"/>
    <w:rsid w:val="00FC44A4"/>
    <w:rsid w:val="00FC4C18"/>
    <w:rsid w:val="00FC6D16"/>
    <w:rsid w:val="00FD006A"/>
    <w:rsid w:val="00FD207E"/>
    <w:rsid w:val="00FD4D49"/>
    <w:rsid w:val="00FD7848"/>
    <w:rsid w:val="00FE2F47"/>
    <w:rsid w:val="00FE7403"/>
    <w:rsid w:val="00FE78C3"/>
    <w:rsid w:val="00FE7FE5"/>
    <w:rsid w:val="00FF0B3D"/>
    <w:rsid w:val="00FF29DA"/>
    <w:rsid w:val="00FF3929"/>
    <w:rsid w:val="00FF4D74"/>
    <w:rsid w:val="02557C87"/>
    <w:rsid w:val="03027722"/>
    <w:rsid w:val="038F57D0"/>
    <w:rsid w:val="068A3836"/>
    <w:rsid w:val="06A20FC1"/>
    <w:rsid w:val="0978221F"/>
    <w:rsid w:val="098B3E2A"/>
    <w:rsid w:val="0AFF19D8"/>
    <w:rsid w:val="0B0B7C5A"/>
    <w:rsid w:val="0C8D0D17"/>
    <w:rsid w:val="0DF06351"/>
    <w:rsid w:val="0F07055B"/>
    <w:rsid w:val="0F847C52"/>
    <w:rsid w:val="0FE72962"/>
    <w:rsid w:val="10120F66"/>
    <w:rsid w:val="103036F9"/>
    <w:rsid w:val="12180287"/>
    <w:rsid w:val="15131497"/>
    <w:rsid w:val="1DD0465C"/>
    <w:rsid w:val="1DF414E7"/>
    <w:rsid w:val="270F40F6"/>
    <w:rsid w:val="2B3C438D"/>
    <w:rsid w:val="2C630216"/>
    <w:rsid w:val="2CAB6DBA"/>
    <w:rsid w:val="300551AF"/>
    <w:rsid w:val="30FD233D"/>
    <w:rsid w:val="3350298C"/>
    <w:rsid w:val="3BBC5B5C"/>
    <w:rsid w:val="3D6812AA"/>
    <w:rsid w:val="3E4A11ED"/>
    <w:rsid w:val="3EE75F23"/>
    <w:rsid w:val="400A3438"/>
    <w:rsid w:val="41F300AD"/>
    <w:rsid w:val="43457C6F"/>
    <w:rsid w:val="45A100BA"/>
    <w:rsid w:val="46037C59"/>
    <w:rsid w:val="46F503B8"/>
    <w:rsid w:val="49803BB0"/>
    <w:rsid w:val="4D9B7A30"/>
    <w:rsid w:val="501243E8"/>
    <w:rsid w:val="52A828F7"/>
    <w:rsid w:val="54A73310"/>
    <w:rsid w:val="54BD0F0F"/>
    <w:rsid w:val="54F15115"/>
    <w:rsid w:val="562718C7"/>
    <w:rsid w:val="567F4A57"/>
    <w:rsid w:val="56B83097"/>
    <w:rsid w:val="581D57C8"/>
    <w:rsid w:val="59B475E2"/>
    <w:rsid w:val="5A68536B"/>
    <w:rsid w:val="5ACF2122"/>
    <w:rsid w:val="5B4B1423"/>
    <w:rsid w:val="5D32628B"/>
    <w:rsid w:val="5ED13CE3"/>
    <w:rsid w:val="5F4D50E3"/>
    <w:rsid w:val="62287742"/>
    <w:rsid w:val="641C57F7"/>
    <w:rsid w:val="664F1D49"/>
    <w:rsid w:val="67B323CC"/>
    <w:rsid w:val="67DA0982"/>
    <w:rsid w:val="68D8644A"/>
    <w:rsid w:val="69BD725E"/>
    <w:rsid w:val="6C162CA3"/>
    <w:rsid w:val="6E126639"/>
    <w:rsid w:val="6E755736"/>
    <w:rsid w:val="6F1E7F02"/>
    <w:rsid w:val="6FD010AA"/>
    <w:rsid w:val="72D873EC"/>
    <w:rsid w:val="734F5793"/>
    <w:rsid w:val="7374286A"/>
    <w:rsid w:val="74AA0B89"/>
    <w:rsid w:val="75D042DC"/>
    <w:rsid w:val="76D23417"/>
    <w:rsid w:val="78E302F3"/>
    <w:rsid w:val="793A186A"/>
    <w:rsid w:val="797414B9"/>
    <w:rsid w:val="79C73E6E"/>
    <w:rsid w:val="7D503DE2"/>
    <w:rsid w:val="7D9827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Lines="50" w:afterLines="50"/>
      <w:outlineLvl w:val="0"/>
    </w:pPr>
    <w:rPr>
      <w:rFonts w:eastAsia="黑体"/>
      <w:b/>
      <w:bCs/>
      <w:kern w:val="44"/>
      <w:sz w:val="44"/>
      <w:szCs w:val="44"/>
    </w:rPr>
  </w:style>
  <w:style w:type="paragraph" w:styleId="3">
    <w:name w:val="heading 2"/>
    <w:basedOn w:val="1"/>
    <w:next w:val="1"/>
    <w:qFormat/>
    <w:uiPriority w:val="0"/>
    <w:pPr>
      <w:keepNext/>
      <w:keepLines/>
      <w:outlineLvl w:val="1"/>
    </w:pPr>
    <w:rPr>
      <w:rFonts w:ascii="Cambria" w:hAnsi="Cambria"/>
      <w:b/>
      <w:bCs/>
      <w:kern w:val="0"/>
      <w:sz w:val="32"/>
      <w:szCs w:val="32"/>
    </w:rPr>
  </w:style>
  <w:style w:type="paragraph" w:styleId="4">
    <w:name w:val="heading 3"/>
    <w:basedOn w:val="1"/>
    <w:next w:val="1"/>
    <w:link w:val="23"/>
    <w:qFormat/>
    <w:uiPriority w:val="0"/>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4"/>
    <w:qFormat/>
    <w:uiPriority w:val="0"/>
    <w:pPr>
      <w:jc w:val="left"/>
    </w:pPr>
  </w:style>
  <w:style w:type="paragraph" w:styleId="6">
    <w:name w:val="Body Text"/>
    <w:basedOn w:val="1"/>
    <w:link w:val="25"/>
    <w:qFormat/>
    <w:uiPriority w:val="0"/>
    <w:pPr>
      <w:spacing w:line="560" w:lineRule="exact"/>
    </w:pPr>
    <w:rPr>
      <w:rFonts w:ascii="方正仿宋_GB2312" w:eastAsia="方正仿宋_GB2312"/>
      <w:sz w:val="28"/>
    </w:rPr>
  </w:style>
  <w:style w:type="paragraph" w:styleId="7">
    <w:name w:val="toc 3"/>
    <w:basedOn w:val="1"/>
    <w:next w:val="1"/>
    <w:qFormat/>
    <w:uiPriority w:val="39"/>
    <w:pPr>
      <w:ind w:left="840" w:leftChars="400"/>
    </w:pPr>
  </w:style>
  <w:style w:type="paragraph" w:styleId="8">
    <w:name w:val="Balloon Text"/>
    <w:basedOn w:val="1"/>
    <w:link w:val="26"/>
    <w:qFormat/>
    <w:uiPriority w:val="0"/>
    <w:rPr>
      <w:sz w:val="18"/>
      <w:szCs w:val="18"/>
    </w:rPr>
  </w:style>
  <w:style w:type="paragraph" w:styleId="9">
    <w:name w:val="footer"/>
    <w:basedOn w:val="1"/>
    <w:link w:val="27"/>
    <w:qFormat/>
    <w:uiPriority w:val="0"/>
    <w:pPr>
      <w:tabs>
        <w:tab w:val="center" w:pos="4153"/>
        <w:tab w:val="right" w:pos="8306"/>
      </w:tabs>
      <w:snapToGrid w:val="0"/>
      <w:jc w:val="left"/>
    </w:pPr>
    <w:rPr>
      <w:rFonts w:eastAsia="Times New Roman"/>
      <w:sz w:val="18"/>
      <w:szCs w:val="18"/>
    </w:rPr>
  </w:style>
  <w:style w:type="paragraph" w:styleId="10">
    <w:name w:val="header"/>
    <w:basedOn w:val="1"/>
    <w:link w:val="28"/>
    <w:qFormat/>
    <w:uiPriority w:val="0"/>
    <w:pPr>
      <w:pBdr>
        <w:bottom w:val="single" w:color="auto" w:sz="6" w:space="1"/>
      </w:pBdr>
      <w:tabs>
        <w:tab w:val="center" w:pos="4153"/>
        <w:tab w:val="right" w:pos="8306"/>
      </w:tabs>
      <w:snapToGrid w:val="0"/>
      <w:jc w:val="center"/>
    </w:pPr>
    <w:rPr>
      <w:rFonts w:eastAsia="Times New Roman"/>
      <w:sz w:val="18"/>
      <w:szCs w:val="18"/>
    </w:rPr>
  </w:style>
  <w:style w:type="paragraph" w:styleId="11">
    <w:name w:val="toc 1"/>
    <w:basedOn w:val="1"/>
    <w:next w:val="1"/>
    <w:qFormat/>
    <w:uiPriority w:val="39"/>
    <w:pPr>
      <w:tabs>
        <w:tab w:val="right" w:leader="dot" w:pos="8296"/>
      </w:tabs>
      <w:spacing w:before="120" w:after="120"/>
      <w:jc w:val="left"/>
    </w:pPr>
    <w:rPr>
      <w:b/>
      <w:bCs/>
      <w:caps/>
      <w:sz w:val="28"/>
      <w:szCs w:val="28"/>
    </w:rPr>
  </w:style>
  <w:style w:type="paragraph" w:styleId="12">
    <w:name w:val="toc 2"/>
    <w:basedOn w:val="1"/>
    <w:next w:val="1"/>
    <w:qFormat/>
    <w:uiPriority w:val="39"/>
    <w:pPr>
      <w:ind w:left="240"/>
      <w:jc w:val="left"/>
    </w:pPr>
    <w:rPr>
      <w:smallCaps/>
      <w:sz w:val="20"/>
      <w:szCs w:val="20"/>
    </w:rPr>
  </w:style>
  <w:style w:type="paragraph" w:styleId="13">
    <w:name w:val="HTML Preformatted"/>
    <w:basedOn w:val="1"/>
    <w:link w:val="2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4">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5">
    <w:name w:val="annotation subject"/>
    <w:basedOn w:val="5"/>
    <w:next w:val="5"/>
    <w:link w:val="30"/>
    <w:qFormat/>
    <w:uiPriority w:val="0"/>
    <w:rPr>
      <w:b/>
      <w:bCs/>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b/>
      <w:bCs/>
    </w:rPr>
  </w:style>
  <w:style w:type="character" w:styleId="20">
    <w:name w:val="page number"/>
    <w:qFormat/>
    <w:uiPriority w:val="0"/>
  </w:style>
  <w:style w:type="character" w:styleId="21">
    <w:name w:val="Hyperlink"/>
    <w:qFormat/>
    <w:uiPriority w:val="99"/>
    <w:rPr>
      <w:rFonts w:cs="Times New Roman"/>
      <w:color w:val="0000FF"/>
      <w:u w:val="single"/>
    </w:rPr>
  </w:style>
  <w:style w:type="character" w:styleId="22">
    <w:name w:val="annotation reference"/>
    <w:qFormat/>
    <w:uiPriority w:val="0"/>
    <w:rPr>
      <w:sz w:val="21"/>
      <w:szCs w:val="21"/>
    </w:rPr>
  </w:style>
  <w:style w:type="character" w:customStyle="1" w:styleId="23">
    <w:name w:val="标题 3 字符"/>
    <w:link w:val="4"/>
    <w:qFormat/>
    <w:uiPriority w:val="0"/>
    <w:rPr>
      <w:b/>
      <w:bCs/>
      <w:kern w:val="2"/>
      <w:sz w:val="32"/>
      <w:szCs w:val="32"/>
    </w:rPr>
  </w:style>
  <w:style w:type="character" w:customStyle="1" w:styleId="24">
    <w:name w:val="批注文字 字符"/>
    <w:link w:val="5"/>
    <w:qFormat/>
    <w:uiPriority w:val="0"/>
    <w:rPr>
      <w:kern w:val="2"/>
      <w:sz w:val="21"/>
      <w:szCs w:val="24"/>
    </w:rPr>
  </w:style>
  <w:style w:type="character" w:customStyle="1" w:styleId="25">
    <w:name w:val="正文文本 字符"/>
    <w:link w:val="6"/>
    <w:qFormat/>
    <w:uiPriority w:val="0"/>
    <w:rPr>
      <w:rFonts w:ascii="方正仿宋_GB2312" w:eastAsia="方正仿宋_GB2312"/>
      <w:kern w:val="2"/>
      <w:sz w:val="28"/>
      <w:szCs w:val="24"/>
    </w:rPr>
  </w:style>
  <w:style w:type="character" w:customStyle="1" w:styleId="26">
    <w:name w:val="批注框文本 字符"/>
    <w:link w:val="8"/>
    <w:qFormat/>
    <w:uiPriority w:val="0"/>
    <w:rPr>
      <w:kern w:val="2"/>
      <w:sz w:val="18"/>
      <w:szCs w:val="18"/>
    </w:rPr>
  </w:style>
  <w:style w:type="character" w:customStyle="1" w:styleId="27">
    <w:name w:val="页脚 字符"/>
    <w:link w:val="9"/>
    <w:qFormat/>
    <w:uiPriority w:val="99"/>
    <w:rPr>
      <w:kern w:val="2"/>
      <w:sz w:val="18"/>
      <w:szCs w:val="18"/>
      <w:lang w:bidi="ar-SA"/>
    </w:rPr>
  </w:style>
  <w:style w:type="character" w:customStyle="1" w:styleId="28">
    <w:name w:val="页眉 字符"/>
    <w:link w:val="10"/>
    <w:qFormat/>
    <w:uiPriority w:val="0"/>
    <w:rPr>
      <w:kern w:val="2"/>
      <w:sz w:val="18"/>
      <w:szCs w:val="18"/>
      <w:lang w:bidi="ar-SA"/>
    </w:rPr>
  </w:style>
  <w:style w:type="character" w:customStyle="1" w:styleId="29">
    <w:name w:val="HTML 预设格式 字符"/>
    <w:link w:val="13"/>
    <w:qFormat/>
    <w:uiPriority w:val="0"/>
    <w:rPr>
      <w:rFonts w:ascii="宋体" w:hAnsi="宋体" w:cs="宋体"/>
      <w:sz w:val="24"/>
      <w:szCs w:val="24"/>
    </w:rPr>
  </w:style>
  <w:style w:type="character" w:customStyle="1" w:styleId="30">
    <w:name w:val="批注主题 字符"/>
    <w:link w:val="15"/>
    <w:qFormat/>
    <w:uiPriority w:val="0"/>
    <w:rPr>
      <w:b/>
      <w:bCs/>
      <w:kern w:val="2"/>
      <w:sz w:val="21"/>
      <w:szCs w:val="24"/>
    </w:rPr>
  </w:style>
  <w:style w:type="character" w:customStyle="1" w:styleId="31">
    <w:name w:val="正文文本 (2) + Courier New1"/>
    <w:qFormat/>
    <w:uiPriority w:val="0"/>
    <w:rPr>
      <w:rFonts w:ascii="Courier New" w:hAnsi="Courier New" w:eastAsia="宋体" w:cs="Courier New"/>
      <w:spacing w:val="-10"/>
      <w:sz w:val="20"/>
      <w:szCs w:val="20"/>
      <w:u w:val="none"/>
      <w:lang w:val="en-US" w:eastAsia="en-US" w:bidi="ar-SA"/>
    </w:rPr>
  </w:style>
  <w:style w:type="character" w:customStyle="1" w:styleId="32">
    <w:name w:val="批注文字 字符1"/>
    <w:qFormat/>
    <w:uiPriority w:val="0"/>
    <w:rPr>
      <w:kern w:val="2"/>
      <w:sz w:val="21"/>
      <w:szCs w:val="24"/>
    </w:rPr>
  </w:style>
  <w:style w:type="character" w:customStyle="1" w:styleId="33">
    <w:name w:val="正文文本 (2)5"/>
    <w:qFormat/>
    <w:uiPriority w:val="0"/>
    <w:rPr>
      <w:rFonts w:ascii="宋体" w:eastAsia="宋体" w:cs="宋体"/>
      <w:color w:val="EBEBEB"/>
      <w:sz w:val="20"/>
      <w:szCs w:val="20"/>
      <w:u w:val="none"/>
      <w:lang w:bidi="ar-SA"/>
    </w:rPr>
  </w:style>
  <w:style w:type="character" w:customStyle="1" w:styleId="34">
    <w:name w:val="正文文本 字符1"/>
    <w:qFormat/>
    <w:uiPriority w:val="0"/>
    <w:rPr>
      <w:kern w:val="2"/>
      <w:sz w:val="21"/>
      <w:szCs w:val="24"/>
    </w:rPr>
  </w:style>
  <w:style w:type="character" w:customStyle="1" w:styleId="35">
    <w:name w:val="正文文本 (2)"/>
    <w:qFormat/>
    <w:uiPriority w:val="0"/>
    <w:rPr>
      <w:rFonts w:ascii="宋体" w:eastAsia="宋体" w:cs="宋体"/>
      <w:sz w:val="20"/>
      <w:szCs w:val="20"/>
      <w:u w:val="none"/>
    </w:rPr>
  </w:style>
  <w:style w:type="character" w:customStyle="1" w:styleId="36">
    <w:name w:val="op-map-singlepoint-info-right"/>
    <w:qFormat/>
    <w:uiPriority w:val="0"/>
  </w:style>
  <w:style w:type="character" w:customStyle="1" w:styleId="37">
    <w:name w:val="正文文本 (8)_"/>
    <w:link w:val="38"/>
    <w:qFormat/>
    <w:uiPriority w:val="0"/>
    <w:rPr>
      <w:rFonts w:ascii="宋体" w:eastAsia="宋体"/>
      <w:b/>
      <w:bCs/>
      <w:lang w:bidi="ar-SA"/>
    </w:rPr>
  </w:style>
  <w:style w:type="paragraph" w:customStyle="1" w:styleId="38">
    <w:name w:val="正文文本 (8)1"/>
    <w:basedOn w:val="1"/>
    <w:link w:val="37"/>
    <w:qFormat/>
    <w:uiPriority w:val="0"/>
    <w:pPr>
      <w:shd w:val="clear" w:color="auto" w:fill="FFFFFF"/>
      <w:spacing w:before="480" w:after="60" w:line="240" w:lineRule="atLeast"/>
      <w:jc w:val="distribute"/>
    </w:pPr>
    <w:rPr>
      <w:rFonts w:ascii="宋体"/>
      <w:b/>
      <w:bCs/>
      <w:kern w:val="0"/>
      <w:sz w:val="20"/>
      <w:szCs w:val="20"/>
    </w:rPr>
  </w:style>
  <w:style w:type="character" w:customStyle="1" w:styleId="39">
    <w:name w:val="正文文本 (2) + 粗体"/>
    <w:qFormat/>
    <w:uiPriority w:val="0"/>
    <w:rPr>
      <w:rFonts w:ascii="宋体" w:eastAsia="宋体" w:cs="宋体"/>
      <w:b/>
      <w:bCs/>
      <w:color w:val="FFFFFF"/>
      <w:sz w:val="20"/>
      <w:szCs w:val="20"/>
      <w:u w:val="none"/>
      <w:lang w:bidi="ar-SA"/>
    </w:rPr>
  </w:style>
  <w:style w:type="character" w:customStyle="1" w:styleId="40">
    <w:name w:val="正文文本 (2) + Courier New2"/>
    <w:qFormat/>
    <w:uiPriority w:val="0"/>
    <w:rPr>
      <w:rFonts w:ascii="Courier New" w:hAnsi="Courier New" w:eastAsia="宋体" w:cs="Courier New"/>
      <w:smallCaps/>
      <w:spacing w:val="-10"/>
      <w:sz w:val="20"/>
      <w:szCs w:val="20"/>
      <w:u w:val="none"/>
      <w:lang w:val="en-US" w:eastAsia="en-US" w:bidi="ar-SA"/>
    </w:rPr>
  </w:style>
  <w:style w:type="character" w:customStyle="1" w:styleId="41">
    <w:name w:val="_Style 40"/>
    <w:qFormat/>
    <w:uiPriority w:val="19"/>
    <w:rPr>
      <w:i/>
      <w:iCs/>
      <w:color w:val="404040"/>
    </w:rPr>
  </w:style>
  <w:style w:type="character" w:customStyle="1" w:styleId="42">
    <w:name w:val="正文文本 Char1"/>
    <w:qFormat/>
    <w:uiPriority w:val="0"/>
    <w:rPr>
      <w:kern w:val="2"/>
      <w:sz w:val="21"/>
      <w:szCs w:val="24"/>
    </w:rPr>
  </w:style>
  <w:style w:type="character" w:customStyle="1" w:styleId="43">
    <w:name w:val="表格内容 字符"/>
    <w:link w:val="44"/>
    <w:qFormat/>
    <w:uiPriority w:val="99"/>
    <w:rPr>
      <w:rFonts w:ascii="方正仿宋_GB2312" w:hAnsi="方正仿宋_GB2312" w:eastAsia="仿宋" w:cs="方正仿宋_GB2312"/>
      <w:spacing w:val="1"/>
      <w:sz w:val="21"/>
      <w:szCs w:val="21"/>
    </w:rPr>
  </w:style>
  <w:style w:type="paragraph" w:customStyle="1" w:styleId="44">
    <w:name w:val="表格内容"/>
    <w:basedOn w:val="1"/>
    <w:link w:val="43"/>
    <w:qFormat/>
    <w:uiPriority w:val="99"/>
    <w:pPr>
      <w:adjustRightInd w:val="0"/>
      <w:snapToGrid w:val="0"/>
      <w:jc w:val="left"/>
    </w:pPr>
    <w:rPr>
      <w:rFonts w:ascii="方正仿宋_GB2312" w:hAnsi="方正仿宋_GB2312" w:eastAsia="仿宋" w:cs="方正仿宋_GB2312"/>
      <w:spacing w:val="1"/>
      <w:kern w:val="0"/>
      <w:szCs w:val="21"/>
    </w:rPr>
  </w:style>
  <w:style w:type="character" w:customStyle="1" w:styleId="45">
    <w:name w:val="正文文本 (2) + 粗体3"/>
    <w:qFormat/>
    <w:uiPriority w:val="0"/>
    <w:rPr>
      <w:rFonts w:ascii="宋体" w:eastAsia="宋体" w:cs="宋体"/>
      <w:b/>
      <w:bCs/>
      <w:sz w:val="20"/>
      <w:szCs w:val="20"/>
      <w:u w:val="none"/>
      <w:lang w:bidi="ar-SA"/>
    </w:rPr>
  </w:style>
  <w:style w:type="character" w:customStyle="1" w:styleId="46">
    <w:name w:val="正文文本 (5)"/>
    <w:qFormat/>
    <w:uiPriority w:val="0"/>
    <w:rPr>
      <w:rFonts w:ascii="宋体" w:eastAsia="宋体" w:cs="宋体"/>
      <w:sz w:val="40"/>
      <w:szCs w:val="40"/>
      <w:u w:val="none"/>
    </w:rPr>
  </w:style>
  <w:style w:type="character" w:customStyle="1" w:styleId="47">
    <w:name w:val="正文文本 (6)_"/>
    <w:link w:val="48"/>
    <w:qFormat/>
    <w:locked/>
    <w:uiPriority w:val="0"/>
    <w:rPr>
      <w:rFonts w:ascii="PMingLiU-ExtB" w:hAnsi="Courier New" w:eastAsia="PMingLiU-ExtB"/>
      <w:b/>
      <w:bCs/>
      <w:sz w:val="29"/>
      <w:szCs w:val="29"/>
      <w:shd w:val="clear" w:color="auto" w:fill="FFFFFF"/>
    </w:rPr>
  </w:style>
  <w:style w:type="paragraph" w:customStyle="1" w:styleId="48">
    <w:name w:val="正文文本 (6)"/>
    <w:basedOn w:val="1"/>
    <w:link w:val="47"/>
    <w:qFormat/>
    <w:uiPriority w:val="0"/>
    <w:pPr>
      <w:shd w:val="clear" w:color="auto" w:fill="FFFFFF"/>
      <w:spacing w:line="542" w:lineRule="exact"/>
      <w:jc w:val="left"/>
    </w:pPr>
    <w:rPr>
      <w:rFonts w:ascii="PMingLiU-ExtB" w:hAnsi="Courier New" w:eastAsia="PMingLiU-ExtB"/>
      <w:b/>
      <w:bCs/>
      <w:kern w:val="0"/>
      <w:sz w:val="29"/>
      <w:szCs w:val="29"/>
    </w:rPr>
  </w:style>
  <w:style w:type="character" w:customStyle="1" w:styleId="49">
    <w:name w:val="正文文本 (8)"/>
    <w:qFormat/>
    <w:uiPriority w:val="0"/>
    <w:rPr>
      <w:rFonts w:ascii="宋体" w:eastAsia="宋体" w:cs="宋体"/>
      <w:color w:val="FFFFFF"/>
      <w:sz w:val="20"/>
      <w:szCs w:val="20"/>
      <w:u w:val="none"/>
      <w:lang w:bidi="ar-SA"/>
    </w:rPr>
  </w:style>
  <w:style w:type="character" w:customStyle="1" w:styleId="50">
    <w:name w:val="正文文本 (2)4"/>
    <w:qFormat/>
    <w:uiPriority w:val="0"/>
    <w:rPr>
      <w:rFonts w:ascii="宋体" w:eastAsia="宋体" w:cs="宋体"/>
      <w:sz w:val="20"/>
      <w:szCs w:val="20"/>
      <w:u w:val="none"/>
      <w:lang w:bidi="ar-SA"/>
    </w:rPr>
  </w:style>
  <w:style w:type="character" w:customStyle="1" w:styleId="51">
    <w:name w:val="正文文本 (8) + 非粗体"/>
    <w:qFormat/>
    <w:uiPriority w:val="0"/>
    <w:rPr>
      <w:lang w:bidi="ar-SA"/>
    </w:rPr>
  </w:style>
  <w:style w:type="character" w:customStyle="1" w:styleId="52">
    <w:name w:val="正文文本 (2) + 间距 1 pt"/>
    <w:qFormat/>
    <w:uiPriority w:val="0"/>
    <w:rPr>
      <w:rFonts w:ascii="宋体" w:eastAsia="宋体" w:cs="宋体"/>
      <w:spacing w:val="30"/>
      <w:sz w:val="20"/>
      <w:szCs w:val="20"/>
      <w:u w:val="none"/>
      <w:lang w:bidi="ar-SA"/>
    </w:rPr>
  </w:style>
  <w:style w:type="character" w:customStyle="1" w:styleId="53">
    <w:name w:val="正文文本 (8)2"/>
    <w:qFormat/>
    <w:uiPriority w:val="0"/>
    <w:rPr>
      <w:lang w:bidi="ar-SA"/>
    </w:rPr>
  </w:style>
  <w:style w:type="character" w:customStyle="1" w:styleId="54">
    <w:name w:val="正文文本 (2)_"/>
    <w:link w:val="55"/>
    <w:qFormat/>
    <w:uiPriority w:val="0"/>
    <w:rPr>
      <w:rFonts w:ascii="宋体" w:eastAsia="宋体"/>
      <w:lang w:bidi="ar-SA"/>
    </w:rPr>
  </w:style>
  <w:style w:type="paragraph" w:customStyle="1" w:styleId="55">
    <w:name w:val="正文文本 (2)1"/>
    <w:basedOn w:val="1"/>
    <w:link w:val="54"/>
    <w:qFormat/>
    <w:uiPriority w:val="0"/>
    <w:pPr>
      <w:shd w:val="clear" w:color="auto" w:fill="FFFFFF"/>
      <w:spacing w:line="283" w:lineRule="exact"/>
      <w:ind w:hanging="580"/>
      <w:jc w:val="left"/>
    </w:pPr>
    <w:rPr>
      <w:rFonts w:ascii="宋体"/>
      <w:kern w:val="0"/>
      <w:sz w:val="20"/>
      <w:szCs w:val="20"/>
    </w:rPr>
  </w:style>
  <w:style w:type="character" w:customStyle="1" w:styleId="56">
    <w:name w:val="列表段落 字符"/>
    <w:link w:val="57"/>
    <w:qFormat/>
    <w:locked/>
    <w:uiPriority w:val="0"/>
    <w:rPr>
      <w:rFonts w:ascii="Calibri" w:hAnsi="Calibri" w:cs="宋体"/>
      <w:kern w:val="2"/>
      <w:sz w:val="21"/>
      <w:szCs w:val="21"/>
    </w:rPr>
  </w:style>
  <w:style w:type="paragraph" w:styleId="57">
    <w:name w:val="List Paragraph"/>
    <w:basedOn w:val="1"/>
    <w:link w:val="56"/>
    <w:qFormat/>
    <w:uiPriority w:val="0"/>
    <w:pPr>
      <w:ind w:firstLine="420" w:firstLineChars="200"/>
    </w:pPr>
    <w:rPr>
      <w:rFonts w:ascii="Calibri" w:hAnsi="Calibri" w:cs="宋体"/>
      <w:szCs w:val="21"/>
    </w:rPr>
  </w:style>
  <w:style w:type="character" w:customStyle="1" w:styleId="58">
    <w:name w:val="批注主题 字符1"/>
    <w:qFormat/>
    <w:uiPriority w:val="0"/>
    <w:rPr>
      <w:b/>
      <w:bCs/>
      <w:kern w:val="2"/>
      <w:sz w:val="21"/>
      <w:szCs w:val="24"/>
    </w:rPr>
  </w:style>
  <w:style w:type="paragraph" w:customStyle="1" w:styleId="59">
    <w:name w:val="footer centre"/>
    <w:basedOn w:val="10"/>
    <w:qFormat/>
    <w:locked/>
    <w:uiPriority w:val="0"/>
    <w:pPr>
      <w:widowControl/>
      <w:numPr>
        <w:ilvl w:val="0"/>
        <w:numId w:val="1"/>
      </w:numPr>
      <w:pBdr>
        <w:bottom w:val="none" w:color="auto" w:sz="0" w:space="0"/>
      </w:pBdr>
      <w:tabs>
        <w:tab w:val="center" w:pos="4680"/>
        <w:tab w:val="right" w:pos="9360"/>
        <w:tab w:val="clear" w:pos="4153"/>
        <w:tab w:val="clear" w:pos="8306"/>
      </w:tabs>
      <w:snapToGrid/>
      <w:ind w:left="0" w:firstLine="0"/>
    </w:pPr>
    <w:rPr>
      <w:rFonts w:ascii="Arial" w:hAnsi="Arial" w:eastAsia="Ms.Luce"/>
      <w:kern w:val="0"/>
      <w:sz w:val="16"/>
      <w:szCs w:val="16"/>
      <w:lang w:val="en-GB" w:eastAsia="en-US"/>
    </w:rPr>
  </w:style>
  <w:style w:type="paragraph" w:customStyle="1" w:styleId="60">
    <w:name w:val="_Style 8"/>
    <w:basedOn w:val="1"/>
    <w:qFormat/>
    <w:uiPriority w:val="0"/>
    <w:pPr>
      <w:adjustRightInd w:val="0"/>
      <w:spacing w:line="360" w:lineRule="auto"/>
    </w:pPr>
    <w:rPr>
      <w:kern w:val="0"/>
      <w:sz w:val="24"/>
      <w:szCs w:val="20"/>
    </w:rPr>
  </w:style>
  <w:style w:type="paragraph" w:customStyle="1" w:styleId="61">
    <w:name w:val="正文2"/>
    <w:basedOn w:val="1"/>
    <w:qFormat/>
    <w:uiPriority w:val="0"/>
    <w:rPr>
      <w:spacing w:val="20"/>
      <w:sz w:val="24"/>
    </w:rPr>
  </w:style>
  <w:style w:type="paragraph" w:customStyle="1" w:styleId="62">
    <w:name w:val="Char Char1"/>
    <w:basedOn w:val="1"/>
    <w:qFormat/>
    <w:uiPriority w:val="0"/>
    <w:pPr>
      <w:adjustRightInd w:val="0"/>
      <w:spacing w:line="360" w:lineRule="auto"/>
    </w:pPr>
    <w:rPr>
      <w:kern w:val="0"/>
      <w:sz w:val="24"/>
      <w:szCs w:val="20"/>
    </w:rPr>
  </w:style>
  <w:style w:type="paragraph" w:customStyle="1" w:styleId="6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4">
    <w:name w:val="_Style 63"/>
    <w:basedOn w:val="2"/>
    <w:next w:val="1"/>
    <w:qFormat/>
    <w:uiPriority w:val="39"/>
    <w:pPr>
      <w:widowControl/>
      <w:spacing w:before="480" w:beforeLines="0" w:afterLines="0" w:line="276" w:lineRule="auto"/>
      <w:jc w:val="left"/>
      <w:outlineLvl w:val="9"/>
    </w:pPr>
    <w:rPr>
      <w:rFonts w:ascii="Cambria" w:hAnsi="Cambria" w:eastAsia="宋体"/>
      <w:color w:val="365F91"/>
      <w:kern w:val="0"/>
      <w:sz w:val="28"/>
      <w:szCs w:val="28"/>
    </w:rPr>
  </w:style>
  <w:style w:type="paragraph" w:customStyle="1" w:styleId="65">
    <w:name w:val="Char Char Char Char"/>
    <w:basedOn w:val="1"/>
    <w:qFormat/>
    <w:uiPriority w:val="0"/>
    <w:pPr>
      <w:adjustRightInd w:val="0"/>
      <w:spacing w:line="360" w:lineRule="auto"/>
    </w:pPr>
    <w:rPr>
      <w:szCs w:val="20"/>
    </w:rPr>
  </w:style>
  <w:style w:type="paragraph" w:styleId="66">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67">
    <w:name w:val="默认段落字体 Para Char Char Char Char Char Char Char"/>
    <w:basedOn w:val="1"/>
    <w:qFormat/>
    <w:uiPriority w:val="0"/>
    <w:pPr>
      <w:adjustRightInd w:val="0"/>
      <w:spacing w:line="360" w:lineRule="auto"/>
    </w:pPr>
    <w:rPr>
      <w:kern w:val="0"/>
      <w:sz w:val="24"/>
      <w:szCs w:val="20"/>
    </w:rPr>
  </w:style>
  <w:style w:type="paragraph" w:customStyle="1" w:styleId="68">
    <w:name w:val="列出段落2"/>
    <w:basedOn w:val="1"/>
    <w:qFormat/>
    <w:uiPriority w:val="99"/>
    <w:pPr>
      <w:ind w:firstLine="420" w:firstLineChars="200"/>
    </w:pPr>
    <w:rPr>
      <w:szCs w:val="21"/>
    </w:rPr>
  </w:style>
  <w:style w:type="paragraph" w:customStyle="1" w:styleId="69">
    <w:name w:val="p1"/>
    <w:basedOn w:val="1"/>
    <w:qFormat/>
    <w:uiPriority w:val="0"/>
    <w:pPr>
      <w:widowControl/>
      <w:jc w:val="left"/>
    </w:pPr>
    <w:rPr>
      <w:rFonts w:ascii="仿宋" w:hAnsi="仿宋" w:eastAsia="仿宋"/>
      <w:kern w:val="0"/>
      <w:sz w:val="24"/>
    </w:rPr>
  </w:style>
  <w:style w:type="paragraph" w:customStyle="1" w:styleId="70">
    <w:name w:val="Table Paragraph"/>
    <w:basedOn w:val="1"/>
    <w:qFormat/>
    <w:uiPriority w:val="0"/>
    <w:pPr>
      <w:spacing w:before="100" w:beforeAutospacing="1" w:after="100" w:afterAutospacing="1"/>
      <w:ind w:left="417" w:hanging="283"/>
      <w:jc w:val="left"/>
    </w:pPr>
    <w:rPr>
      <w:rFonts w:ascii="Calibri" w:hAnsi="Calibri" w:cs="宋体"/>
      <w:kern w:val="0"/>
      <w:sz w:val="22"/>
      <w:szCs w:val="22"/>
    </w:rPr>
  </w:style>
  <w:style w:type="paragraph" w:customStyle="1" w:styleId="71">
    <w:name w:val="_Style 12"/>
    <w:basedOn w:val="1"/>
    <w:qFormat/>
    <w:uiPriority w:val="0"/>
    <w:pPr>
      <w:adjustRightInd w:val="0"/>
      <w:spacing w:line="360" w:lineRule="auto"/>
    </w:pPr>
    <w:rPr>
      <w:kern w:val="0"/>
      <w:sz w:val="24"/>
      <w:szCs w:val="20"/>
    </w:rPr>
  </w:style>
  <w:style w:type="paragraph" w:customStyle="1" w:styleId="72">
    <w:name w:val="Char Char Char Char Char Char Char Char Char Char Char1 Char"/>
    <w:basedOn w:val="1"/>
    <w:qFormat/>
    <w:uiPriority w:val="0"/>
    <w:rPr>
      <w:rFonts w:eastAsia="方正仿宋_GB2312"/>
      <w:sz w:val="32"/>
      <w:szCs w:val="20"/>
    </w:rPr>
  </w:style>
  <w:style w:type="character" w:customStyle="1" w:styleId="73">
    <w:name w:val="Editable"/>
    <w:qFormat/>
    <w:uiPriority w:val="0"/>
    <w:rPr>
      <w:rFonts w:hint="default" w:ascii="Times New Roman" w:hAnsi="Times New Roman" w:eastAsia="宋体" w:cs="Times New Roman"/>
      <w:color w:val="62B5E5"/>
    </w:rPr>
  </w:style>
  <w:style w:type="paragraph" w:customStyle="1" w:styleId="74">
    <w:name w:val="Editable table text"/>
    <w:basedOn w:val="1"/>
    <w:qFormat/>
    <w:uiPriority w:val="0"/>
    <w:pPr>
      <w:widowControl/>
    </w:pPr>
    <w:rPr>
      <w:rFonts w:ascii="Frutiger LT Pro 55 Roman" w:hAnsi="Frutiger LT Pro 55 Roman"/>
      <w:color w:val="62B5E5"/>
      <w:kern w:val="0"/>
      <w:sz w:val="20"/>
      <w:lang w:val="en-GB" w:eastAsia="en-US"/>
    </w:rPr>
  </w:style>
  <w:style w:type="paragraph" w:customStyle="1" w:styleId="75">
    <w:name w:val="默认段落字体 Para Char Char Char Char Char Char Char Char Char Char"/>
    <w:basedOn w:val="1"/>
    <w:qFormat/>
    <w:uiPriority w:val="0"/>
    <w:rPr>
      <w:rFonts w:eastAsia="方正仿宋_GB2312"/>
      <w:sz w:val="32"/>
      <w:szCs w:val="32"/>
    </w:rPr>
  </w:style>
  <w:style w:type="paragraph" w:customStyle="1" w:styleId="76">
    <w:name w:val="Table Bullet"/>
    <w:basedOn w:val="1"/>
    <w:qFormat/>
    <w:uiPriority w:val="0"/>
    <w:pPr>
      <w:widowControl/>
      <w:numPr>
        <w:ilvl w:val="0"/>
        <w:numId w:val="2"/>
      </w:numPr>
      <w:tabs>
        <w:tab w:val="left" w:pos="720"/>
      </w:tabs>
      <w:spacing w:after="120"/>
      <w:ind w:left="284" w:hanging="284"/>
      <w:contextualSpacing/>
    </w:pPr>
    <w:rPr>
      <w:rFonts w:ascii="Frutiger LT Pro 55 Roman" w:hAnsi="Frutiger LT Pro 55 Roman"/>
      <w:kern w:val="0"/>
      <w:sz w:val="20"/>
      <w:szCs w:val="22"/>
      <w:lang w:val="en-GB"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wuq</Company>
  <Pages>24</Pages>
  <Words>126</Words>
  <Characters>129</Characters>
  <Lines>849</Lines>
  <Paragraphs>934</Paragraphs>
  <TotalTime>5</TotalTime>
  <ScaleCrop>false</ScaleCrop>
  <LinksUpToDate>false</LinksUpToDate>
  <CharactersWithSpaces>129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2018-03-08T08:42:00Z</dcterms:created>
  <dc:creator>wuquan</dc:creator>
  <cp:lastModifiedBy>工贸培训</cp:lastModifiedBy>
  <cp:lastPrinted>2026-09-09T06:23:00Z</cp:lastPrinted>
  <dcterms:modified xsi:type="dcterms:W3CDTF">2026-11-04T07:11:02Z</dcterms:modified>
  <dc:title>关于第45届世界技能大赛广东省选拔赛实施方案和技术文件的要求</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eyJoZGlkIjoiYWI5ZmNiYTk0YzUwYjA1OGNlOWQ5OTlkMmRlNTkwYjAiLCJ1c2VySWQiOiIxMjk5MDczODE2In0=</vt:lpwstr>
  </property>
  <property fmtid="{D5CDD505-2E9C-101B-9397-08002B2CF9AE}" pid="4" name="ICV">
    <vt:lpwstr>9CD9A14EC09F4895ABF2B0AABAF10CB9_13</vt:lpwstr>
  </property>
</Properties>
</file>